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1C_574/2022 vom 4. November 2022</w:t>
      </w:r>
    </w:p>
    <w:p>
      <w:r>
        <w:t>Bundesgericht, 2022-11-04, FR</w:t>
      </w:r>
    </w:p>
    <w:p>
      <w:r>
        <w:rPr>
          <w:b/>
        </w:rPr>
        <w:t xml:space="preserve">Quelle: </w:t>
      </w:r>
      <w:r>
        <w:t>https://mcp.opencaselaw.ch/entscheid/bger_1C_574_2022</w:t>
      </w:r>
    </w:p>
    <w:p>
      <w:r>
        <w:t>FR: TF 1C_574/2022 du 4 novembre 2022</w:t>
      </w:r>
    </w:p>
    <w:p>
      <w:r>
        <w:t>IT: TF 1C_574/2022 del 4 novembre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présente espèce porte certes sur la transmission de documents bancaires, soit des renseignements touchant le domaine secret. Toutefois, compte tenu des faits à l'origine de la demande (une escroquerie fiscale) et de la nature de la transmission envisagée (limitée à la documentation relative à quatre comptes bancaires déterminés), le cas ne revêt en soi aucune importance particulière.</w:t>
      </w:r>
    </w:p>
    <w:p>
      <w:r>
        <w:rPr>
          <w:b/>
        </w:rPr>
        <w:t>E. 1.2</w:t>
      </w:r>
    </w:p>
    <w:p>
      <w:r>
        <w:t>Les recourants affirment que la demande d'entraide se fonderait sur des données volées ("Panama Papers"), dont l'auteur du vol aurait perçu 5 millions d'euros du gouvernement allemand en 2017; le fait que les journalistes ayant mis en ligne ces données n'aient pas été rémunérés n'aurait pas d'effet guérisseur. Le vol de données serait constitutif de recel en droit français et une instruction aurait été ouverte en France à ce sujet, sur plainte du recourant A.________.</w:t>
      </w:r>
    </w:p>
    <w:p>
      <w:r>
        <w:t>Contrairement à ce que soutiennent les recourants, la question de l'utilisation de données volées n'a pas seulement été examinée en matière d'entraide administrative (arrêts 2C_545/2019 du 13 juillet 2020 consid. 6, 2C_648/2017 du 17 juillet 2018), mais également en matière d'entraide pénale (arrêts 1C_343/2019 du 28 juin 2019 consid. 2.2, 1C_424/2018 du 8 octobre 2018 consid. 1.4 et les références). La jurisprudence considère à ce sujet que l'Etat requis n'a pas à s'interroger sur la validité des preuves recueillies à l'étranger, et que les recourants disposent à ce sujet d'une protection juridictionnelle suffisante devant les instances nationales et internationales; les griefs relatifs à la validité des preuves doivent ainsi être soumis au juge du fond et ne peuvent être soulevés sous l'angle de l' art. 2 EIMP (arrêts 1C_586/2017 du 30 octobre 2017 consid. 1.3; 1A.10/2007 du 3 juillet 2007 consid. 2.2). Avec raison, la Cour des plaintes relève que la demande d'entraide française est fondée sur des données librement accessibles et que la seule provenance illicite des données d'origine ne constitue pas un motif de refus de l'entraide. Il ne se pose dès lors aucune question de principe à ce propos.</w:t>
      </w:r>
    </w:p>
    <w:p>
      <w:r>
        <w:rPr>
          <w:b/>
        </w:rPr>
        <w:t>E. 1.3</w:t>
      </w:r>
    </w:p>
    <w:p>
      <w:r>
        <w:t>Les recourants relèvent qu'une procédure pénale est en cours en France sur plainte de A.________ à l'encontre des auteurs de la demande d'entraide, pour des infractions de recel, de faux et d'abus d'autorité. L'ouverture d'une information judiciaire serait confirmée par pièces et remettrait en cause la bonne foi de l'autorité requérante.</w:t>
      </w:r>
    </w:p>
    <w:p>
      <w:r>
        <w:t>L'arrêt attaqué relève pertinemment que la bonne foi de l'Etat requérant est présumée, en particulier s'agissant d'un Etat comme la France, partie à la CEDH et bénéficiant d'une présomption de respect des garanties qui en découlent. En l'occurrence, l'autorité requérante a expressément indiqué que ses soupçons étaient à l'origine fondés sur des données volées. Il n'y a aucune tromperie sur ce point. Les recourants prétendent que la demande d'entraide contiendrait des indications volontairement erronées, mais le seul exemple mentionné à ce propos concerne l'absence d'un domicile fiscal dès 2014. La question de savoir si et dans quelle mesure il existait un assujettissement fiscal durant la période en cause constitue elle aussi une question de fond qui devra être tranchée par les autorités de l'Etat requérant; on ne saurait d'ailleurs, sur la base des seules allégations des recourants, admettre que l'autorité requérante aurait délibérément menti sur ce point. Les recourants produisent des décisions de procédure rendues à propos de la plainte pénale, mais le sort de celle-ci sur le fond n'est pas connu. Il en ressort en tout cas que les recourants disposent d'une protection juridictionnelle suffisante devant les instances nationales. Les objections soulevées à ce propos ne sauraient par conséquent justifier l'intervention d'une seconde instance de recours.</w:t>
      </w:r>
    </w:p>
    <w:p>
      <w:r>
        <w:rPr>
          <w:b/>
        </w:rPr>
        <w:t>E. 1.4</w:t>
      </w:r>
    </w:p>
    <w:p>
      <w:r>
        <w:t>Pour le surplus, les autres griefs soulevés (relatifs à la double incrimination) ne sont pas présentés comme des motifs d'entrée en matière. Il n'y a donc pas lieu de les examiner sous cet angle.</w:t>
      </w:r>
    </w:p>
    <w:p>
      <w:r>
        <w:rPr>
          <w:b/>
        </w:rPr>
        <w:t>E. 2</w:t>
      </w:r>
    </w:p>
    <w:p>
      <w:r>
        <w:t>Sur le vu de ce qui précède, le recours est irrecevable.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