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1C_574/2016 vom 19. Januar 2017</w:t>
      </w:r>
    </w:p>
    <w:p>
      <w:r>
        <w:t>Bundesgericht, 2017-01-19, DE</w:t>
      </w:r>
    </w:p>
    <w:p>
      <w:r>
        <w:rPr>
          <w:b/>
        </w:rPr>
        <w:t xml:space="preserve">Quelle: </w:t>
      </w:r>
      <w:r>
        <w:t>https://mcp.opencaselaw.ch/entscheid/bger_1C_574_2016</w:t>
      </w:r>
    </w:p>
    <w:p>
      <w:r>
        <w:t>FR: TF 1C_574/2016 du 19 janvier 2017</w:t>
      </w:r>
    </w:p>
    <w:p>
      <w:r>
        <w:t>IT: TF 1C_574/2016 del 19 gennaio 2017</w:t>
      </w:r>
    </w:p>
    <w:p>
      <w:pPr>
        <w:pStyle w:val="Heading2"/>
      </w:pPr>
      <w:r>
        <w:t>Erwägungen</w:t>
      </w:r>
    </w:p>
    <w:p>
      <w:r>
        <w:rPr>
          <w:b/>
        </w:rPr>
        <w:t>E. 1</w:t>
      </w:r>
    </w:p>
    <w:p>
      <w:r>
        <w:t>Die B.________ AG betreibt auf der Parzelle Wilderswil Gbbl. Nr. 1804 (Baurecht Gbbl. Nr. 1937) ein Fernheizwerk. Mit Baugesuch vom 3. November 2015 beantragte sie eine Bewilligung für den Ausbau der Heizzentrale mit einer 4-MW-Holzfeuerungsanlage und einer 4-MW-Ölfeuerungsanlage als Redundanz sowie die Erweiterung des Brennstofflagers. Dagegen erhob A.________ Einsprache. Mit Gesamtentscheid vom 8. April 2016 erteilte das Regierungsstatthalteramt Interlaken-Oberhasli die Baubewilligung, wobei es auf die Einsprache nicht eintrat.</w:t>
      </w:r>
    </w:p>
    <w:p>
      <w:r>
        <w:t>Gegen diesen Entscheid gelangte A.________ an die Bau-, Verkehrs- und Energiedirektion (BVE) des Kantons Bern. Mit Entscheid vom 14. Juni 2016 wies diese das Rechtsmittel ab, soweit sie darauf eintrat.</w:t>
      </w:r>
    </w:p>
    <w:p>
      <w:r>
        <w:t>In der Folge erhob A.________ Verwaltungsgerichtsbeschwerde mit dem Begehren, der BVE-Entscheid und die Baubewilligung seien aufzuheben; es sei der Bauabschlag zu erteilen. Mit Urteil vom 4. November 2016 hat die Einzelrichterin der Verwaltungsrechtlichen Abteilung des Verwaltungsgerichts des Kantons Bern die Beschwerde abgewiesen, soweit sie darauf eingetreten ist, dies im Wesentlichen mit der Begründung, eine baurechtlich relevante besondere Betroffenheit des Beschwerdeführers sei nicht ersichtlich; seine Einsprachebefugnis sei daher, wie bereits durch die Vorinstanzen zutreffend erwogen, zu verneinen.</w:t>
      </w:r>
    </w:p>
    <w:p>
      <w:r>
        <w:rPr>
          <w:b/>
        </w:rPr>
        <w:t>E. 2</w:t>
      </w:r>
    </w:p>
    <w:p>
      <w:r>
        <w:t>Mit Eingabe vom 5. Dezember (Postaufgabe: 7. Dezember) 2016 führt A.________ Beschwerde ans Bundesgericht, womit er seine früheren Begehren bestätigt.</w:t>
      </w:r>
    </w:p>
    <w:p>
      <w:r>
        <w:t>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Urteil bzw. am kantonalen Verfahren, indem er seine Einwände gegen das Bauvorhaben wiederholt. Dabei stellt er der dem ausführlichen verwaltungsgerichtlichen Urteil zugrunde liegenden Begründung im Wesentlichen auf appellatorische Weise, jedoch im Lichte der genannten formellen Erfordernisse in rechtlicher Hinsicht nicht zureichend seine Sicht der Dinge gegenüber. Indes legt er nicht dar, inwiefern durch die Entscheidbegründung bzw. das Urteil selbst im Ergebnis Recht im Sinne von Art. 42 Abs. 2 BGG verletzt worden sein soll.</w:t>
      </w:r>
    </w:p>
    <w:p>
      <w:r>
        <w:t>Auf die Beschwerde ist somit bereits mangels hinreichender Begründung nicht einzutreten, so dass es sich erübrigt, auch noch die weiteren Eintretensvoraussetzungen zu erörtern. Der genannte Mangel ist offensichtlich, weshalb über die vorliegende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r>
        <w:t>Der Beschwerdegegnerin ist durch das vorliegende Verfahren kein Aufwand entstanden und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