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1C_573/2016 vom 14. Dezember 2016</w:t>
      </w:r>
    </w:p>
    <w:p>
      <w:r>
        <w:t>Bundesgericht, 2016-12-14, DE</w:t>
      </w:r>
    </w:p>
    <w:p>
      <w:r>
        <w:rPr>
          <w:b/>
        </w:rPr>
        <w:t xml:space="preserve">Quelle: </w:t>
      </w:r>
      <w:r>
        <w:t>https://mcp.opencaselaw.ch/entscheid/bger_1C_573_2016</w:t>
      </w:r>
    </w:p>
    <w:p>
      <w:r>
        <w:t>FR: TF 1C_573/2016 du 14 décembre 2016</w:t>
      </w:r>
    </w:p>
    <w:p>
      <w:r>
        <w:t>IT: TF 1C_573/2016 del 14 dicembre 2016</w:t>
      </w:r>
    </w:p>
    <w:p>
      <w:pPr>
        <w:pStyle w:val="Heading2"/>
      </w:pPr>
      <w:r>
        <w:t>Erwägungen</w:t>
      </w:r>
    </w:p>
    <w:p>
      <w:r>
        <w:rPr>
          <w:b/>
        </w:rPr>
        <w:t>E. 1</w:t>
      </w:r>
    </w:p>
    <w:p>
      <w:r>
        <w:t>Das Bundesgericht beurteilt nach Art. 82 lit. b BGG Beschwerden gegen kantonale Erlasse. Die vorliegende Beschwerde richtet sich nicht gegen einen kantonalen Erlass, weshalb darauf im vereinfachten Verfahren gemäss Art. 108 Abs. 1 BGG nicht einzutreten ist. Ob und inwiefern sich das Fehlen von angeblich notwendigen Ausführungsbestimmungen zum Gerichtsorganisationsgesetz auf das gegen den Beschwerdeführer hängige Berufungsverfahren auswirkt, wird vom Appellationsgericht zu beurteilen sein, sofern der Beschwerdeführer die entsprechenden Rügen gehörig vorbringt.</w:t>
      </w:r>
    </w:p>
    <w:p>
      <w:r>
        <w:rPr>
          <w:b/>
        </w:rPr>
        <w:t>E. 2</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