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1C_573/2014 vom 29. April 2015</w:t>
      </w:r>
    </w:p>
    <w:p>
      <w:r>
        <w:t>Bundesgericht, 2015-04-29, DE</w:t>
      </w:r>
    </w:p>
    <w:p>
      <w:r>
        <w:rPr>
          <w:b/>
        </w:rPr>
        <w:t xml:space="preserve">Quelle: </w:t>
      </w:r>
      <w:r>
        <w:t>https://mcp.opencaselaw.ch/entscheid/bger_1C_573_2014</w:t>
      </w:r>
    </w:p>
    <w:p>
      <w:r>
        <w:t>FR: TF 1C_573/2014 du 29 avril 2015</w:t>
      </w:r>
    </w:p>
    <w:p>
      <w:r>
        <w:t>IT: TF 1C_573/2014 del 29 aprile 2015</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Er schliesst das Verfahren ab, womit es sich um einen Endentscheid im Sinn von Art. 90 BGG handelt, und die Beschwerdeführerin ist als dessen Adressatin befugt, ihn anzufechten. Sie rügt die Verletzung von Bundesrecht, was zulässig ist. (95 lit. a BGG).</w:t>
      </w:r>
    </w:p>
    <w:p>
      <w:r>
        <w:t>Nicht einzutreten ist auf die Beschwerde insoweit, als sie sich gegen die Entscheide der Vorinstanzen des Verwaltungsgerichts richtet. Diese sind im Rahmen des Streitgegenstands durch dessen Urteil ersetzt worden (Devolutiveffekt) und gelten als inhaltlich mit angefochten ( BGE 134 II 142 E. 1.4 S. 144).</w:t>
      </w:r>
    </w:p>
    <w:p>
      <w:r>
        <w:t>Die übrigen Sachurteilsvoraussetzungen geben zu keinen Bemerkungen Anlass, weshalb auf die Beschwerde einzutreten ist.</w:t>
      </w:r>
    </w:p>
    <w:p>
      <w:r>
        <w:rPr>
          <w:b/>
        </w:rPr>
        <w:t>E. 2</w:t>
      </w:r>
    </w:p>
    <w:p>
      <w:r>
        <w:t>Die Beschwerdeführerin verlangt im Wesentlichen die Aufhebung der Departementalverfügung vom 3. April 1996 und der Baubewilligung vom 30. Mai 1996. Dieser Antrag, gestellt rund 17 Jahre nach Eintritt der formellen Rechtskraft der Verfügungen, kann von vornherein nur Erfolg haben, wenn sich die beiden Verfügungen als nichtig oder zumindest als derart fehlerhaft herausstellen würden, dass ihr Widerruf in Betracht fiele.</w:t>
      </w:r>
    </w:p>
    <w:p>
      <w:r>
        <w:rPr>
          <w:b/>
        </w:rPr>
        <w:t>E. 2.1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138 II 501 E. 3.1 ; 137 I 273 E. 3.1; 133 II 366 E. 3.1 und 3.2; 132 II 342 E. 2.1 ; 129 I 361 E. 2; je mit Hinweisen auf die Rechtsprechung).</w:t>
      </w:r>
    </w:p>
    <w:p>
      <w:r>
        <w:rPr>
          <w:b/>
        </w:rPr>
        <w:t>E. 2.2</w:t>
      </w:r>
    </w:p>
    <w:p>
      <w:r>
        <w:t>Der Widerruf einer ursprünglich fehlerhaften Verfügung ist zulässig, wenn eine allgemeine Interessen- bzw. Wertabwägung ergibt, dass das Interesse an der richtigen Durchsetzung des objektiven Rechts dasjenige an der Wahrung der Rechtssicherheit bzw. am Vertrauensschutz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 BGE 121 II 273 E. 1a/aa S. 276; 119 Ia 305 E. 4c S. 310; Urteile des Bundesgerichts 1C_300/2011 vom 3. Februar 2012, publ. in ZBl: 113/2012 S. 680 E. 3.1; 1P.98/1998 vom 28. April 1998, publ. in: ZBl 101/2000 S. 41 ff. E. 3b).</w:t>
      </w:r>
    </w:p>
    <w:p>
      <w:r>
        <w:rPr>
          <w:b/>
        </w:rPr>
        <w:t>E. 2.3</w:t>
      </w:r>
    </w:p>
    <w:p>
      <w:r>
        <w:t>Vorliegend hat die Beschwerdegegnerin von den beiden umstrittenen Verfügungen längst Gebrauch gemacht und in die bewilligten Bauvorhaben erhebliche Investitionen getätigt. Der Rechtssicherheit bzw. dem Vertrauensschutz kommt somit eine vorrangige Bedeutung zu. Ihre Aufhebung bzw. ihr Widerruf fällt nur in Betracht, wenn die Verfügungen krass fehlerhaft - annähernd nichtig oder nichtig - sind und die Wiederherstellung des rechtmässigen Zustands im öffent-lichen Interesse zwingend geboten erscheint.</w:t>
      </w:r>
    </w:p>
    <w:p>
      <w:r>
        <w:rPr>
          <w:b/>
        </w:rPr>
        <w:t>E. 3</w:t>
      </w:r>
    </w:p>
    <w:p>
      <w:r>
        <w:t>Sowohl die Baubewilligung vom 30. Mai 1996 als auch die Bewilligung der Verlegung und Wiedereindolung des Haldenbachs im Bereich der Bauvorhaben vom 3. April 1996 wurden von den dafür zuständigen Instanzen erlassen. Das Vorgehen - das Bau- und das Finanzdepartement erteilten die erforderliche kantonale Bewilligung zur Verlegung und Wiedereindolung des Haldenbachs unter Vorbehalt der Erteilung der Baubewilligung, der Gemeinderat erteilte daraufhin die Baubewilligung und eröffnete sie zusammen mit der gewässerschutzrechtlichen Bewilligung - entsprach nach den unwiderlegten Ausführungen des Verwaltungsgerichts gängiger Praxis. Die gewässerschutzrechtliche Bewilligung des Bau- und des Finanzdepartements wurde im Übrigen klarerweise im Hinblick auf das hängige Baubewilligungsverfahren erteilt, welches mit der Bewilligung vom 30. Mai 1996 seinen Abschluss fand. Ob dies zulässig war oder ob, wie die Beschwerdeführerin behauptet, ein neues Auflageverfahren hätte durchgeführt werden müssen, weil das Gesuch um Verlegung und Wiedereindolung des Haldenbachs erst nach dem baurechtlichen Auflageverfahren gestellt worden sei, spielt heute keine Rolle mehr. So oder so läge jedenfalls kein besonders schwerer Verfahrensfehler vor, der die Departementalverfügung nichtig erscheinen lassen oder deren Widerruf rechtfertigen könnte. Dies gilt auch für den Umstand, dass das eingedolte Gewässer im Baubewilligungsverfahren offenbar stets als Meteorwasserkanal bezeichnet wurde. Selbst wenn dieser bzw. das eingedolte Gewässer in den aufgelegten Planunterlagen falsch bezeichnet gewesen wäre oder gar gefehlt hätte - dies kann nicht mehr sicher nachvollzogen werden, da in den Akten die öffentlich aufgelegten Pläne offenbar durch später erstellte Korrekturpläne für Baugesuchsänderungen ersetzt wurden - läge darin kein besonders schwerer Verfahrensfehler, der die beiden angefochtenen Verfügungen nichtig erscheinen liesse oder deren Widerruf zu rechtfertigen vermöchte.</w:t>
      </w:r>
    </w:p>
    <w:p>
      <w:r>
        <w:t>In materieller Hinsicht macht die Beschwerdeführerin sinngemäss geltend, das am 1. November 1992 in Kraft getretene Gewässerschutzgesetz hätte zwingend eine Öffnung des eingedolten Haldenbachs vorgeschrieben, weshalb die Verfügung vom 3. April 1996 von vornherein bundesrechtswidrig sei. Der Einwand ist unbegründet. In der Departementalverfügung wird dazu erwogen, Untersuchungen hätten ergeben, dass keine Möglichkeit zur Verlegung des eingedolten Baches ausserhalb des Bauareals bestehe und innerhalb eine Offenlegung aufgrund der prekären Platzverhältnisse nicht möglich sei. Unter diesen Umständen lässt es Art. 38 Abs. 2 lit. e GSchG zu, ausnahmsweise von der Offenlegung eines Fliessgewässers abzusehen. Das Gesetz bietet somit eine Handhabe, um Grundeigentümer von der Pflicht, Fliessgewässer offen zu legen, ausnahmsweise zu befreien. Es trifft daher nicht zu, dass die Departementalverfügung von Anfang an in einem krassen, unauflösbaren Widerspruch zum kurz vorher in Kraft getretenen Gewässerschutzgesetz gestanden hätte.</w:t>
      </w:r>
    </w:p>
    <w:p>
      <w:r>
        <w:t>Zusammenfassend ist festzuhalten, dass die Beschwerdeführerin nichts vorbringt, das geeignet wäre, die beiden Verfügungen vom 3. April bzw. 30. Mai 1996 nichtig oder widerrufbar erscheinen zu lassen. Die Rügen sind (offensichtlich) unbegründet.</w:t>
      </w:r>
    </w:p>
    <w:p>
      <w:r>
        <w:rPr>
          <w:b/>
        </w:rPr>
        <w:t>E. 4</w:t>
      </w:r>
    </w:p>
    <w:p>
      <w:r>
        <w:t>Bei diesem Ausgang des Verfahrens trägt die Beschwerdeführerin die Kosten ( Art. 66 Abs. 1 BGG ). Sie hat der Beschwerdegegnerin zudem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