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1C_571/2017 vom 23. Oktober 2017</w:t>
      </w:r>
    </w:p>
    <w:p>
      <w:r>
        <w:t>Bundesgericht, 2017-10-23, DE</w:t>
      </w:r>
    </w:p>
    <w:p>
      <w:r>
        <w:rPr>
          <w:b/>
        </w:rPr>
        <w:t xml:space="preserve">Quelle: </w:t>
      </w:r>
      <w:r>
        <w:t>https://mcp.opencaselaw.ch/entscheid/bger_1C_571_2017</w:t>
      </w:r>
    </w:p>
    <w:p>
      <w:r>
        <w:t>FR: TF 1C_571/2017 du 23 octobre 2017</w:t>
      </w:r>
    </w:p>
    <w:p>
      <w:r>
        <w:t>IT: TF 1C_571/2017 del 23 ottobre 2017</w:t>
      </w:r>
    </w:p>
    <w:p>
      <w:pPr>
        <w:pStyle w:val="Heading2"/>
      </w:pPr>
      <w:r>
        <w:t>Erwägungen</w:t>
      </w:r>
    </w:p>
    <w:p>
      <w:r>
        <w:rPr>
          <w:b/>
        </w:rPr>
        <w:t>E. 1.1</w:t>
      </w:r>
    </w:p>
    <w:p>
      <w:r>
        <w:t>Gemäss Art. 42 Abs. 2 BGG haben Rechtsschriften Begehren zu enthalten. Der anwaltlich vertretene Beschwerdeführer hat es unterlassen, solche zu formulieren. Wie es sich damit verhält, kann offen gelassen werden, da auf die Beschwerde bereits aus einem anderen Grund nicht einzutreten ist.</w:t>
      </w:r>
    </w:p>
    <w:p>
      <w:r>
        <w:rPr>
          <w:b/>
        </w:rPr>
        <w:t>E. 1.2</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w:t>
      </w:r>
    </w:p>
    <w:p>
      <w:r>
        <w:t>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 BGE 134 IV 156 E. 1.3.1 S. 160 mit Hinweisen). Ein besonders bedeutender Fall ist mit Zurückhaltung anzunehmen ( BGE 136 IV 139 E. 2.4 S. 144 mit Hinweis).</w:t>
      </w:r>
    </w:p>
    <w:p>
      <w:r>
        <w:t>Bei der Beantwortung der Frage, ob ein besonders bedeutender Fall gegeben ist, steht dem Bundesgericht ein weiter Ermessensspielraum zu ( BGE 134 IV 156 E. 1.3.1 S. 160 mit Hinweis).</w:t>
      </w:r>
    </w:p>
    <w:p>
      <w:r>
        <w:t>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w:t>
      </w:r>
    </w:p>
    <w:p>
      <w:r>
        <w:t>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1.3</w:t>
      </w:r>
    </w:p>
    <w:p>
      <w:r>
        <w:t>Zwar geht es hier um die Übermittlung von Informationen aus dem Geheimbereich und damit um ein Sachgebiet, bei dem die Beschwerde nach Art. 84 Abs. 1 BGG insoweit möglich ist. Es handelt sich jedoch um keinen besonders bedeutenden Fall.</w:t>
      </w:r>
    </w:p>
    <w:p>
      <w:r>
        <w:t>Der Beschwerdeführer kritisiert, dass das Bundesstrafgericht auf eine in seiner Replik im vorinstanzlichen Verfahren erhobene Rüge nicht eingetreten sei. Diese Rüge wurde jedoch lange nach Ablauf der Beschwerdefrist erhoben und der Beschwerdeführer macht nicht geltend, dass die Ausführungen in den Vernehmlassungen eines anderen Verfahrensbeteiligten dazu Anlass gegeben hätten (vgl. BGE 135 I 19 E. 2.2 S. 21 mit Hinweisen). Die Verletzung eines wesentlichen Verfahrensgrundsatzes ist schon aus diesem Grund nicht ersichtlich. Auch die weiteren Vorbringen des Beschwerdeführers sind nicht geeignet, den Fall als besonders bedeutsam erscheinen zu lassen.</w:t>
      </w:r>
    </w:p>
    <w:p>
      <w:r>
        <w:rPr>
          <w:b/>
        </w:rPr>
        <w:t>E. 2</w:t>
      </w:r>
    </w:p>
    <w:p>
      <w:r>
        <w:t>Auf die Beschwerde ist aus den genannten Gründen nicht einzutreten.</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