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1C_571/2014 vom 4. Dezember 2014</w:t>
      </w:r>
    </w:p>
    <w:p>
      <w:r>
        <w:t>Bundesgericht, 2014-12-04, FR</w:t>
      </w:r>
    </w:p>
    <w:p>
      <w:r>
        <w:rPr>
          <w:b/>
        </w:rPr>
        <w:t xml:space="preserve">Quelle: </w:t>
      </w:r>
      <w:r>
        <w:t>https://mcp.opencaselaw.ch/entscheid/bger_1C_571_2014</w:t>
      </w:r>
    </w:p>
    <w:p>
      <w:r>
        <w:t>FR: TF 1C_571/2014 du 4 décembre 2014</w:t>
      </w:r>
    </w:p>
    <w:p>
      <w:r>
        <w:t>IT: TF 1C_571/2014 del 4 dicembre 2014</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notamment le transfert d'objets ou de valeurs.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w:t>
      </w:r>
    </w:p>
    <w:p>
      <w:r>
        <w:t>La présente espèce porte certes sur le transfert de valeurs à l'étranger. La Cour des plaintes n'a toutefois statué que sur la qualité pour agir du recourant, et celui-ci prétend à tort qu'il s'agirait d'une question de principe. L'arrêt attaqué est en effet fondé sur la jurisprudence constante qui ne reconnaît la qualité pour intervenir dans une procédure ayant trait à la remise en vue de confiscation ou de restitution ( art. 74a EIMP ), qu'à la personne qui se prévaut de droits réels sur les avoirs en question, à l'exception des simples créanciers, même au bénéfice d'un séquestre prononcé en Suisse (arrêt 1C_166/2009 du 3 juillet 2009 consid. 2.3.4 et les références citées). Cette solution s'inspire du texte même de l' art. 74a EIMP et ne dépend nullement de la nature, pénale ou administrative, de la mesure d'entraide judiciaire. Le TPF s'en est dès lors tenu à la jurisprudence et il n'y a pas de question de principe à résoudre sur ce point. L'arrêt attaqué applique également les principes dégagés dans l' ATF 129 II 453 , retenant qu'il n'y avait pas de connexité directe entre l'infraction commise au préjudice du recourant et les valeurs transmises. Sur ce point également - de même qu'à propos de la bonne foi du recourant - il ne se pose pas de question de principe.</w:t>
      </w:r>
    </w:p>
    <w:p>
      <w:r>
        <w:rPr>
          <w:b/>
        </w:rPr>
        <w:t>E. 3</w:t>
      </w:r>
    </w:p>
    <w:p>
      <w:r>
        <w:t>Sur le vu de ce qui précède, le recours est irrecevable. Le recourant a demandé l'assistance judiciaire, mais, compte tenu de l'issue prévisible de sa démarche, celle-ci ne peut être accordée. Conformément à l' art. 66 al. 1 LTF , les frais judiciaires sont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