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570/2019 vom 13. November 2019</w:t>
      </w:r>
    </w:p>
    <w:p>
      <w:r>
        <w:t>Bundesgericht, 2019-11-13, DE</w:t>
      </w:r>
    </w:p>
    <w:p>
      <w:r>
        <w:rPr>
          <w:b/>
        </w:rPr>
        <w:t xml:space="preserve">Quelle: </w:t>
      </w:r>
      <w:r>
        <w:t>https://mcp.opencaselaw.ch/entscheid/bger_1C_570_2019</w:t>
      </w:r>
    </w:p>
    <w:p>
      <w:r>
        <w:t>FR: TF 1C 570/2019 du 13 novembre 2019</w:t>
      </w:r>
    </w:p>
    <w:p>
      <w:r>
        <w:t>IT: TF 1C 570/2019 del 13 novembre 2019</w:t>
      </w:r>
    </w:p>
    <w:p>
      <w:pPr>
        <w:pStyle w:val="Heading2"/>
      </w:pPr>
      <w:r>
        <w:t>Regeste</w:t>
      </w:r>
    </w:p>
    <w:p>
      <w:r>
        <w:t>Beanstandung baulicher Gewässerschutz | Ökologisches Gleichgewicht</w:t>
      </w:r>
    </w:p>
    <w:p>
      <w:pPr>
        <w:pStyle w:val="Heading2"/>
      </w:pPr>
      <w:r>
        <w:t>Erwägungen</w:t>
      </w:r>
    </w:p>
    <w:p>
      <w:r>
        <w:rPr>
          <w:b/>
        </w:rPr>
        <w:t>E. 1</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w:t>
      </w:r>
    </w:p>
    <w:p>
      <w:r>
        <w:t>Thema des angefochtenen Urteils war einzig die Frage, ob A.________ die Verfügung des AfU rechtzeitig beim DBU angefochten hatte oder nicht. Dazu äussert sich der Beschwerdeführer nicht, sondern behauptet bloss, der angefochtene Entscheid sei nichtig. Eine Begründung dafür liefert er hingegen nicht, und es ist auch kein Grund ersichtlich, aus dem das Verwaltungsgerichtsurteil nichtig sein könnte. Auf die Beschwerde ist wegen Verletzung der Begründungspflicht nicht einzutreten, und zwar, weil der Mangel offensichtlich ist, im vereinfachten Verfahren. Dieser Mangel liesse sich im Übrigen auch durch die Beigabe eines Rechtsbeistands, wie sie der Beschwerdeführer sinngemäss beantragt, nicht beheben, da er die Beschwerde erst gegen das Ende der Rechtsmittelfrist einreichte und diese in der Zwischenzeit abgelaufen ist. Auf die Auferlegung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