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56/2020 vom 18. März 2020</w:t>
      </w:r>
    </w:p>
    <w:p>
      <w:r>
        <w:t>Bundesgericht, 2020-03-18, DE</w:t>
      </w:r>
    </w:p>
    <w:p>
      <w:r>
        <w:rPr>
          <w:b/>
        </w:rPr>
        <w:t xml:space="preserve">Quelle: </w:t>
      </w:r>
      <w:r>
        <w:t>https://mcp.opencaselaw.ch/entscheid/bger_1C_56_2020</w:t>
      </w:r>
    </w:p>
    <w:p>
      <w:r>
        <w:t>FR: TF 1C 56/2020 du 18 mars 2020</w:t>
      </w:r>
    </w:p>
    <w:p>
      <w:r>
        <w:t>IT: TF 1C 56/2020 del 18 marzo 2020</w:t>
      </w:r>
    </w:p>
    <w:p>
      <w:pPr>
        <w:pStyle w:val="Heading2"/>
      </w:pPr>
      <w:r>
        <w:t>Regeste</w:t>
      </w:r>
    </w:p>
    <w:p>
      <w:r>
        <w:t>Baubewilligungspflicht für Zaun | Raumplanung und öffentliches Baurecht</w:t>
      </w:r>
    </w:p>
    <w:p>
      <w:pPr>
        <w:pStyle w:val="Heading2"/>
      </w:pPr>
      <w:r>
        <w:t>Erwägungen</w:t>
      </w:r>
    </w:p>
    <w:p>
      <w:r>
        <w:rPr>
          <w:b/>
        </w:rPr>
        <w:t>E. 1</w:t>
      </w:r>
    </w:p>
    <w:p>
      <w:r>
        <w:t>Angefochten ist ein kantonal letztinstanzlicher Entscheid, mit dem das Verwaltungsgericht die Beschwerde gegen Verpflichtung des Beschwerdeführers, eine nachträgliche Baubewilligung einzureichen, abgewiesen hat; dagegen ist die Beschwerde in öffentlich-rechtlichen Angelegenheiten zulässig ( Art. 82 ff. BGG ). Er schliesst das Baubewilligungsverfahren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legt unter Verletzung der gesetzlichen Begründungspflicht nicht dar, inwiefern er durch die Verpflichtung zur Einreichung eines nachträglichen Baugesuchs einen nicht wieder gutzumachenden Nachteil rechtlicher Natur erleiden könnte. Das ist auch nicht ersichtlich, sondern trifft im Gegenteil offenkundig nicht zu. Auf die Beschwerde ist damit im vereinfachten Verfahren nach Art. 108 BGG nicht einzutreten. Da allerdings das Bundesgericht im vom Beschwerdeführer zitierten Urteil 1C_424/2016 vom 27. März 2017 in ähnlicher Konstellation auf eine Beschwerde eingetreten ist, ohne sich mit der Frage auseinanderzusetzen, ob ein anfechtbarer Zwischenentscheid vorliege, rechtfertigt sich,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