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1C_566/2024 vom 1. November 2024</w:t>
      </w:r>
    </w:p>
    <w:p>
      <w:r>
        <w:t>Bundesgericht, 2024-11-01, DE</w:t>
      </w:r>
    </w:p>
    <w:p>
      <w:r>
        <w:rPr>
          <w:b/>
        </w:rPr>
        <w:t xml:space="preserve">Quelle: </w:t>
      </w:r>
      <w:r>
        <w:t>https://mcp.opencaselaw.ch/entscheid/bger_1C_566_2024</w:t>
      </w:r>
    </w:p>
    <w:p>
      <w:r>
        <w:t>FR: TF 1C_566/2024 du 1 novembre 2024</w:t>
      </w:r>
    </w:p>
    <w:p>
      <w:r>
        <w:t>IT: TF 1C_566/2024 del 1 novembre 2024</w:t>
      </w:r>
    </w:p>
    <w:p>
      <w:pPr>
        <w:pStyle w:val="Heading2"/>
      </w:pPr>
      <w:r>
        <w:t>Erwägungen</w:t>
      </w:r>
    </w:p>
    <w:p>
      <w:r>
        <w:rPr>
          <w:b/>
        </w:rPr>
        <w:t>E. 1</w:t>
      </w:r>
    </w:p>
    <w:p>
      <w:r>
        <w:t>A.________ erhob am 14. September 2024 (Postaufgabe) beim Bundesgericht Beschwerde in öffentlich-rechtlichen Angelegenheiten gegen einen Entscheid betreffend Ermächtigung zur Durchführung einer Strafuntersuchung. Da der angefochtene Entscheid der Beschwerde nicht beilag, forderte das Bundesgericht sie mit Verfügung vom 23. September 2024 auf, diesen Mangel spätestens bis am 4. Oktober 2024 zu beheben, ansonsten die Rechtsschrift unbeachtet bleibe ( Art. 42 Abs. 5 BGG ). Diese Frist wurde auf ihr Ersuchen hin einmalig bis zum 25. Oktober 2024 erstreckt. Innert Frist (und auch danach) reichte A.________ den angefochtenen Entscheid nicht ein. Stattdessen machte sie am 28. Oktober 2024 (Postaufgabe) eine Eingabe mit anderen Beilagen, in der sie darum ersuchte, die Ermächtigung zu erteilen oder eventuell das vorliegende Verfahren zur Akteneinholung zu sistieren. Damit ist androhungsgemäss in Anwendung von Art. 42 Abs. 3 in Verbindung mit Art. 42 Abs. 5 BGG im vereinfachten Verfahren nach Art. 108 Abs. 1 BGG auf die Beschwerde nicht einzutreten.</w:t>
      </w:r>
    </w:p>
    <w:p>
      <w:r>
        <w:rPr>
          <w:b/>
        </w:rPr>
        <w:t>E. 2</w:t>
      </w:r>
    </w:p>
    <w:p>
      <w:r>
        <w:t>Bei diesem Verfahrensausgang ist die Beschwerdeführerin an sich kostenpflichtig; auf eine Kostenerhebung kann jedoch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