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1C_566/2020 vom 3. November 2020</w:t>
      </w:r>
    </w:p>
    <w:p>
      <w:r>
        <w:t>Bundesgericht, 2020-11-03, DE</w:t>
      </w:r>
    </w:p>
    <w:p>
      <w:r>
        <w:rPr>
          <w:b/>
        </w:rPr>
        <w:t xml:space="preserve">Quelle: </w:t>
      </w:r>
      <w:r>
        <w:t>https://mcp.opencaselaw.ch/entscheid/bger_1C_566_2020</w:t>
      </w:r>
    </w:p>
    <w:p>
      <w:r>
        <w:t>FR: TF 1C_566/2020 du 3 novembre 2020</w:t>
      </w:r>
    </w:p>
    <w:p>
      <w:r>
        <w:t>IT: TF 1C_566/2020 del 3 novembre 2020</w:t>
      </w:r>
    </w:p>
    <w:p>
      <w:pPr>
        <w:pStyle w:val="Heading2"/>
      </w:pPr>
      <w:r>
        <w:t>Erwägungen</w:t>
      </w:r>
    </w:p>
    <w:p>
      <w:r>
        <w:rPr>
          <w:b/>
        </w:rPr>
        <w:t>E. 1</w:t>
      </w:r>
    </w:p>
    <w:p>
      <w:r>
        <w:t>Am 1. September 2020 trat das Staatssekretariat für Migration (SEM) auf das Gesuch von A.________ um erleichterte Einbürgerung mangels genügender Sprachkenntnisse nicht ein. Dagegen erhob sie Beschwerde ans Bundesverwaltungsgericht.</w:t>
      </w:r>
    </w:p>
    <w:p>
      <w:r>
        <w:t>Dessen Instruktionsrichter setzte A.________ mit Verfügung vom   8. Oktober 2020 Frist bis zum 9. November 2020, um die Beschwerde im Sinne der Erwägungen zu verbessern und einen Kostenvorschuss von Fr. 1'200.-- zu bezahlen, unter der Androhung, im Unterlassungsfall auf die Beschwerde nicht einzuteten.</w:t>
      </w:r>
    </w:p>
    <w:p>
      <w:r>
        <w:t>Mit Eingabe vom 9. Oktober 2020 an das Bundesgericht teilt A.________ mit, sie werde vom 16. November 2020 bis zum 14. Januar 2020 (recte wohl 2021) einen Sprachkurs besuchen, anschliessend den Fide-Test noch einmal machen und ihn dann einreichen. Sie ersucht, mit der endgültigen Beurteilung bis dahin zuzuwarten.</w:t>
      </w:r>
    </w:p>
    <w:p>
      <w:r>
        <w:t>Vernehmlassungen wurden keine eingeholt.</w:t>
      </w:r>
    </w:p>
    <w:p>
      <w:r>
        <w:rPr>
          <w:b/>
        </w:rPr>
        <w:t>E. 2</w:t>
      </w:r>
    </w:p>
    <w:p>
      <w:r>
        <w:t>Angefochten ist ein kantonal letztinstanzlicher Entscheid, mit dem das Bundesverwaltungsgericht der Beschwerdeführerin Frist angesetzt hat zur Verbesserung ihrer Beschwerde und zur Bezahlung eines Kostenvorschusses. Dagegen steht die Beschwerde nach Art. 82 ff. BGG offen;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Beschwerdeführerin darzulegen, dass die Sachurteilsvoraussetzungen erfüllt sind; bei der Anfechtung von Zwischenentscheiden hat sie die Tatsachen anzuführen, aus denen sich der nicht wiedergutzumachende Nachteil ergeben soll, sofern dies nicht offensichtlich ist ( BGE 138 III 46 E. 1.2 S. 47; zum Ganzen: BGE 141 IV 284 E. 2.3 S. 287; 289 E. 1.3 S. 292).</w:t>
      </w:r>
    </w:p>
    <w:p>
      <w:r>
        <w:t>Die Beschwerdeführerin setzt sich mit dem angefochtenen Entscheid nicht sachgerecht auseinander und legt weder dar, inwiefern ihr durch die Verpflichtung zur Verbesserung der Beschwerde und zur Bezahlung eines Kostenvorschusses ein nicht wiedergutzumachender Nachteil entstehen kann, noch inwiefern er Bundesrecht verletzt. Auf die Beschwerde ist wegen Verletzung der Begründungspflicht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