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565/2012 vom 23. Januar 2013</w:t>
      </w:r>
    </w:p>
    <w:p>
      <w:r>
        <w:t>Bundesgericht, 2013-01-23, FR</w:t>
      </w:r>
    </w:p>
    <w:p>
      <w:r>
        <w:rPr>
          <w:b/>
        </w:rPr>
        <w:t xml:space="preserve">Quelle: </w:t>
      </w:r>
      <w:r>
        <w:t>https://mcp.opencaselaw.ch/entscheid/bger_1C_565_2012</w:t>
      </w:r>
    </w:p>
    <w:p>
      <w:r>
        <w:t>FR: TF 1C 565/2012 du 23 janvier 2013</w:t>
      </w:r>
    </w:p>
    <w:p>
      <w:r>
        <w:t>IT: TF 1C 565/2012 del 23 gennaio 2013</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prise en dernière instance cantonale ( art. 86 al. 1 let . d LTF) dans le domaine du droit public des constructions, le recours est en principe recevable comme recours en matière de droit public selon les art. 82 ss LTF , aucune des exceptions prévues à l' art. 83 LTF n'étant réalisée.</w:t>
      </w:r>
    </w:p>
    <w:p>
      <w:r>
        <w:rPr>
          <w:b/>
        </w:rPr>
        <w:t>E. 2</w:t>
      </w:r>
    </w:p>
    <w:p>
      <w:r>
        <w:t>Les intimés et le Département contestent au recourant la qualité pour recourir devant le Tribunal fédéral, question qu'il faut examiner avant tout grief relevant du fond.</w:t>
      </w:r>
    </w:p>
    <w:p>
      <w:r>
        <w:rPr>
          <w:b/>
        </w:rPr>
        <w:t>E. 2.1</w:t>
      </w:r>
    </w:p>
    <w:p>
      <w:r>
        <w:t>Aux termes de l' art. 89 LTF , la qualité pour recourir est reconnue à toute personne atteinte par la décision attaquée et qui dispose d'un intérêt digne de protection à son annulation ou à sa modification. Selon la jurisprudence rendue en application de cette disposition, le recourant doit se trouver dans une relation spéciale, étroite et digne d'être prise en considération avec l'objet de la contestation. Le voisin direct de la construction ou de l'installation litigieuse a en principe la qualité pour recourir ( ATF 121 II 171 consid. 2b p. 174).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 ATF 136 II 281 consid. 2.3.1 p. 285). Par ailleurs, la proximité avec l'objet du litige ne suffit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137 II 30 consid. 2.2.3 p. 33). Ainsi, des voisins, situés à environ 100 mètres de la construction projetée, ne sont pas particulièrement atteints par ce projet s'ils ne voient pas depuis leur propriété la toiture qu'ils critiquent. Un tel recours est donc irrecevable pour défaut de qualité pour recourir (arrêt 1C_338/2011 du 30 janvier 2012 consid. 3, publié in SJ 2012 I 422). De même, la qualité pour recourir est en principe déniée au voisin lorsque l'objet du litige concerne uniquement l'application de règles relatives à l'aménagement intérieur des constructions ( ATF 133 II 249 consid. 1.3.2 p. 253; Moor/Poltier, Droit administratif, volume II, 2011, p. 736).</w:t>
      </w:r>
    </w:p>
    <w:p>
      <w:r>
        <w:rPr>
          <w:b/>
        </w:rPr>
        <w:t>E. 2.2</w:t>
      </w:r>
    </w:p>
    <w:p>
      <w:r>
        <w:t>La cour cantonale a retenu que la parcelle du recourant était située à une distance de 70 à 80 mètres du projet litigieux et que, en raison des griefs invoqués devant elle, en particulier la densité des constructions projetées, le voisin était touché plus que quiconque dans un intérêt direct et personnel digne de protection. Dans ses écritures devant le Tribunal fédéral, le recourant expose que la cour cantonale a mal appliqué les dispositions en matière d'indice d'utilisation du sol. Or, celles-ci auraient un impact direct et important sur les constructions réalisables sur les parcelles concernées; en outre, elles viseraient à sauvegarder la typologie du quartier et à éviter les constructions massives.</w:t>
      </w:r>
    </w:p>
    <w:p>
      <w:r>
        <w:rPr>
          <w:b/>
        </w:rPr>
        <w:t>E. 2.3</w:t>
      </w:r>
    </w:p>
    <w:p>
      <w:r>
        <w:t>Par rapport à ce qui prévalait devant l'instance cantonale, l'objet du litige est désormais restreint à la seule question de l'éventuelle violation des dispositions cantonales relatives à l'indice d'utilisation des parcelles en sous-sol. Le recourant reproche ainsi à la cour cantonale d'avoir violé l'art. 59 al. 9 de la loi sur les constructions et les installations diverses (LCI; RS/GE L 5 05). Or, cette disposition règle uniquement la question de la surface du sous-sol, laquelle ne peut - à teneur de la lettre de la loi - pas excéder le 20% de la surface de la parcelle. En revanche, le recourant ne remet plus en cause la proportion de surface de plancher habitable du projet de 27,5% de la surface totale du terrain (art. 59 al. 4 let. a LCI); il ne critique pas non plus la surface de construction telle que définie à l'art. 59 al. 1 LCI. Contrairement à ce qu'allègue sans autre démonstration le voisin, la modification de la surface du sous-sol (art. 59 al. 9 LCI) n'est pas de nature à entraîner une modification du projet en surface (art. 59 al. 1 et 4 let. a LCI): pour preuve, les intimés ont obtenu une autorisation complémentaire de construire le 10 janvier 2012 - objet d'une procédure actuellement suspendue devant le Tribunal administratif de première instance - portant sur une surface en sous-sol atteignant le coefficient de 20% sans modification du projet hors sol; en outre, l'emprise au sol des constructions ainsi que leur surface de plancher habitable ne sont plus contestées devant le Tribunal fédéral, de sorte qu'elles doivent être considérées comme étant entrées en force de chose jugée. Dans ces conditions, il apparaît que l'issue de la présente procédure, même dans l'hypothèse de l'admission du recours, n'est pas susceptible de procurer au recourant un avantage pratique, puisque l'impact visuel de la construction ne serait de toute manière pas modifié. Le recourant n'allègue en outre pas, comme il lui incombait de le faire ( ATF 133 II 249 consid. 1.1 p. 251), que l'utilisation souterraine des parcelles des intimés, en tant qu'elle dépasse le 20% inscrit dans la loi genevoise, serait à l'origine d'immissions l'atteignant spécialement. Par conséquent, le présent recours doit être déclaré irrecevable pour défaut d'intérêt pratique à recourir. Il n'y a donc pas lieu d'entrer en matière sur les griefs matériels contenus dans le recours.</w:t>
      </w:r>
    </w:p>
    <w:p>
      <w:r>
        <w:rPr>
          <w:b/>
        </w:rPr>
        <w:t>E. 3</w:t>
      </w:r>
    </w:p>
    <w:p>
      <w:r>
        <w:t>Les frais judiciaires sont mis à la charge du recourant, qui succombe ( art. 66 al. 1 LTF ). Celui-ci versera en outre aux intimés, qui obtiennent gain de cause,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