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564/2022 vom 14. November 2022</w:t>
      </w:r>
    </w:p>
    <w:p>
      <w:r>
        <w:t>Bundesgericht, 2022-11-14, DE</w:t>
      </w:r>
    </w:p>
    <w:p>
      <w:r>
        <w:rPr>
          <w:b/>
        </w:rPr>
        <w:t xml:space="preserve">Quelle: </w:t>
      </w:r>
      <w:r>
        <w:t>https://mcp.opencaselaw.ch/entscheid/bger_1C_564_2022</w:t>
      </w:r>
    </w:p>
    <w:p>
      <w:r>
        <w:t>FR: TF 1C 564/2022 du 14 novembre 2022</w:t>
      </w:r>
    </w:p>
    <w:p>
      <w:r>
        <w:t>IT: TF 1C 564/2022 del 14 novembre 2022</w:t>
      </w:r>
    </w:p>
    <w:p>
      <w:pPr>
        <w:pStyle w:val="Heading2"/>
      </w:pPr>
      <w:r>
        <w:t>Regeste</w:t>
      </w:r>
    </w:p>
    <w:p>
      <w:r>
        <w:t>Revisionsgesuch | Raumplanung und öffentliches Baurecht</w:t>
      </w:r>
    </w:p>
    <w:p>
      <w:pPr>
        <w:pStyle w:val="Heading2"/>
      </w:pPr>
      <w:r>
        <w:t>Erwägungen</w:t>
      </w:r>
    </w:p>
    <w:p>
      <w:r>
        <w:rPr>
          <w:b/>
        </w:rPr>
        <w:t>E. 1</w:t>
      </w:r>
    </w:p>
    <w:p>
      <w:r>
        <w:t>Am 9. Mai 2022 ist das Departement für Bau und Umwelt des Kantons Thurgau auf ein Revisionsgesuch von A.________ gegen seinen Rekursentscheid vom 25. März 2021 nicht eingetreten mit der Begründung, es enthalte keine Rechtsbegehren und nenne keine Revisionsgründe. Mit Urteil vom 24. August 2022 ist das Verwaltungsgericht des Kantons Thurgau auf die von A.________ dagegen erhobene Beschwerde nicht eingetreten. Mit Eingabe vom 21. Oktober 2022 erhebt A.________ Beschwerde gegen dieses Urteil.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Das Verwaltungsgericht ist im angefochtenen Urteil mit drei selbständigen Begründungen auf die Beschwerde nicht eingetreten: zum Ersten, weil sie verspätet eingereicht worden sei, zum Zweiten, weil die Rechtsschrift den formellen Anforderungen nicht genüge und innert der dafür angesetzten Nachfrist nicht verbessert worden sei und zum Dritten, weil der Beschwerdeführer den Kostenvorschuss innert Frist nicht bezahlt habe. Der Beschwerdeführer setzt sich nicht mit einer dieser Begründungen auseinander. Er legt vielmehr im Wesentlichen nur die Vorgeschichte des Verfahrens dar und erläutert, was aus seiner Sicht alles falsch gelaufen ist und kritisiert mit dieser Sache befasste Behördenmitglieder und dabei ergangene Entscheide. Die Beschwerde geht komplett am Streitgegenstand vorbei, weshalb darauf wegen Verletzung der gesetzlichen Begründungspflicht im vereinfachten Verfahren nicht einzutreten ist.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