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1C_564/2021 vom 6. Oktober 2021</w:t>
      </w:r>
    </w:p>
    <w:p>
      <w:r>
        <w:t>Bundesgericht, 2021-10-06, DE</w:t>
      </w:r>
    </w:p>
    <w:p>
      <w:r>
        <w:rPr>
          <w:b/>
        </w:rPr>
        <w:t xml:space="preserve">Quelle: </w:t>
      </w:r>
      <w:r>
        <w:t>https://mcp.opencaselaw.ch/entscheid/bger_1C_564_2021</w:t>
      </w:r>
    </w:p>
    <w:p>
      <w:r>
        <w:t>FR: TF 1C_564/2021 du 6 octobre 2021</w:t>
      </w:r>
    </w:p>
    <w:p>
      <w:r>
        <w:t>IT: TF 1C_564/2021 del 6 ottobre 2021</w:t>
      </w:r>
    </w:p>
    <w:p>
      <w:pPr>
        <w:pStyle w:val="Heading2"/>
      </w:pPr>
      <w:r>
        <w:t>Erwägungen</w:t>
      </w:r>
    </w:p>
    <w:p>
      <w:r>
        <w:rPr>
          <w:b/>
        </w:rPr>
        <w:t>E. 1</w:t>
      </w:r>
    </w:p>
    <w:p>
      <w:r>
        <w:t>Am 4. März 2020 erteilte die Gemeinde Schongau der Sunrise Communications AG (neu: Sunrise UPC GmbH) die Baubewilligung für den Abbruch und den Neubau eines Mobilfunkmastes auf dem Grundstück Nr. 216 unter Bedingungen und Auflagen; insbesondere wurde in teilweiser Gutheissung von zwei Einsprachen die Nutzung der 5G-Technologie untersagt.</w:t>
      </w:r>
    </w:p>
    <w:p>
      <w:r>
        <w:t>Am 20. August 2021 hat das Kantonsgericht Luzern die von der Sunrise UPC GmbH gegen diese Verfügung erhobene, im Wesentlichen gegen den Ausschluss der Nutzung der 5G-Technologie gerichtete Verwaltungsgerichtsbeschwerde gutgeheissen, die Verfügung des Gemeinderates Schongau vom 4. März 2020 aufgehoben und die Sache an die Vorinstanz zu neuer Beurteilung zurückgewiesen.</w:t>
      </w:r>
    </w:p>
    <w:p>
      <w:r>
        <w:t>Mit Eingabe vom 16. September 2021 erhebt A.________ sinngemäss Beschwerde gegen dieses Urteil des Kantonsgerichts mit dem Antrag, es aufzuheben, weil das Betreiben von 5G-Antennen die körperliche und geistige Unversehrtheit der Menschen gefährde.</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Kantonsgericht hat die Angelegenheit an den Gemeinderat Schongau zur beförderlichen Beurteilung zurückgewiesen. Ein solcher Rückweisungsentscheid schliesst das Verfahren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und es ist weder dargetan noch ersichtlich, inwiefern der angefochtene Entscheid einen nicht wiedergutzumachenden Nachteil bewirken könnte. Die Beschwerde erweist sich damit als unzulässig.</w:t>
      </w:r>
    </w:p>
    <w:p>
      <w:r>
        <w:t>Dazu kommt, dass zur Erhebung der Beschwerde nur befugt ist, wer am vorinstanzlichen Verfahren als Partei teilgenommen hat und mit seinen Anträgen ganz oder teilweise unterlegen ist ( Art. 89 Abs. 1 lit a BGG ; BGE 135 II 172 E. 2.2.1). Der Beschwerdeführer war am vorinstanzlichen Verfahren nicht als Partei beteiligt; das Kantonsgericht hat ihn jedoch zur Vernehmlassung eingeladen, weil er am Baubewilligungsverfahren als Einsprecher teilgenommen hatte. Er hat dem Kantonsgericht eine Vernehmlassung eingereicht, jedoch keinen Antrag gestellt. Er war somit am vorinstanzlichen Verfahren weder als Partei beteiligt noch ist er mit einem Antrag unterlegen, weshalb er nicht befugt ist, den Entscheid des Kantonsgerichts anzufechten.</w:t>
      </w:r>
    </w:p>
    <w:p>
      <w:r>
        <w:rPr>
          <w:b/>
        </w:rPr>
        <w:t>E. 3</w:t>
      </w:r>
    </w:p>
    <w:p>
      <w:r>
        <w:t>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