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1C_560/2020 vom 18. Februar 2021</w:t>
      </w:r>
    </w:p>
    <w:p>
      <w:r>
        <w:t>Bundesgericht, 2021-02-18, DE</w:t>
      </w:r>
    </w:p>
    <w:p>
      <w:r>
        <w:rPr>
          <w:b/>
        </w:rPr>
        <w:t xml:space="preserve">Quelle: </w:t>
      </w:r>
      <w:r>
        <w:t>https://mcp.opencaselaw.ch/entscheid/bger_1C_560_2020</w:t>
      </w:r>
    </w:p>
    <w:p>
      <w:r>
        <w:t>FR: TF 1C_560/2020 du 18 février 2021</w:t>
      </w:r>
    </w:p>
    <w:p>
      <w:r>
        <w:t>IT: TF 1C_560/2020 del 18 febbraio 2021</w:t>
      </w:r>
    </w:p>
    <w:p>
      <w:pPr>
        <w:pStyle w:val="Heading2"/>
      </w:pPr>
      <w:r>
        <w:t>Erwägungen</w:t>
      </w:r>
    </w:p>
    <w:p>
      <w:r>
        <w:rPr>
          <w:b/>
        </w:rPr>
        <w:t>E. 1.1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BGG ist nicht gegeben. Der Beschwerdeführer ist als Inhaber des Führerausweises und Adressat des angefochtenen Urteils gemäss Art. 89 Abs. 1 BGG zur Beschwerde legitimiert. Die übrigen Sachurteilsvoraussetzungen sind erfüllt, weshalb auf die Beschwerde grundsätzlich einzutreten ist.</w:t>
      </w:r>
    </w:p>
    <w:p>
      <w:r>
        <w:rPr>
          <w:b/>
        </w:rPr>
        <w:t>E. 1.2</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w:t>
      </w:r>
    </w:p>
    <w:p>
      <w:r>
        <w:rPr>
          <w:b/>
        </w:rPr>
        <w:t>E. 1.3</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S. 356).</w:t>
      </w:r>
    </w:p>
    <w:p>
      <w:r>
        <w:rPr>
          <w:b/>
        </w:rPr>
        <w:t>E. 2</w:t>
      </w:r>
    </w:p>
    <w:p>
      <w:r>
        <w:t>Streitig und zu prüfen ist, ob das Verwaltungsgericht Bundesrecht verletzt hat, als es einen Sicherungsentzug des Führerausweises für immer geschützt hat.</w:t>
      </w:r>
    </w:p>
    <w:p>
      <w:r>
        <w:rPr>
          <w:b/>
        </w:rPr>
        <w:t>E. 2.1</w:t>
      </w:r>
    </w:p>
    <w:p>
      <w:r>
        <w:t>Das Verwaltungsgericht hat zusammenfassend erwogen, indem der Beschwerdeführer am 6. November 2018 trotz Führerausweisentzug einen Personenwagen lenkte, habe er sich eine schwere Widerhandlung gegen die Strassenverkehrsvorschriften im Sinne von Art. 16c Abs. 1 lit. f SVG zu Schulden kommen lassen. Daran ändere auch sein Vorbringen nichts, er habe sich fahrlässigerweise im Abgabedatum des Führerausweises geirrt, weil einerseits auch die fahrlässige Begehung des infrage stehenden Delikts möglich sei. Andererseits sei im rechtskräftigen Strafbefehl vom 19. September 2019 zudem verbindlich festgestellt worden, dass der Beschwerdeführer vom Führen ohne Berechtigung wusste bzw. dies zumindest in Kauf genommen habe. Aufgrund der begangenen schweren Widerhandlung seien die Voraussetzungen für den Führerausweisentzug für immer gemäss Art. 16c Abs. 2 lit. e SVG erfüllt, nachdem dem Beschwerdeführer der Führerausweis in den letzten fünf Jahren bereits einmal für unbestimmte Zeit entzogen worden war. Auch wenn der Führerausweisentzug den als Chauffeur tätigen Beschwerdeführer schwer treffe, sei die Administrativmassnahme auch verhältnismässig, da der Entzug für immer nach Art. 16c Abs. 2 lit. e SVG der vom Gesetzgeber vorgesehenen Mindestentzugsdauer entspreche.</w:t>
      </w:r>
    </w:p>
    <w:p>
      <w:r>
        <w:rPr>
          <w:b/>
        </w:rPr>
        <w:t>E. 2.2</w:t>
      </w:r>
    </w:p>
    <w:p>
      <w:r>
        <w:t>Diese Darstellung der Rechtslage ist zutreffend. Nach Art. 16c Abs. 1 lit. f SVG stellt das Führen eines Motorfahrzeugs trotz Ausweisentzugs von Gesetzes wegen eine schwere Widerhandlung gegen das Strassenverkehrsgesetz dar (vgl. Urteile 1C_543/2019 vom 27. März 2020 E. 3.5; 1C_470/2015 vom 21. Dezember 2015 E. 2.2). Da dem Beschwerdeführer der Führerausweis zudem bereits am 2. April 2015 wegen einer schweren Widerhandlung gegen die Strassenverkehrsvorschriften (Überschreitung der zulässigen Höchstgeschwindigkeit von 100 km/h um 41 km/h) für unbestimmte Zeit entzogen worden war, ist der Tatbestand von Art. 16c Abs. 2 lit. e SVG zweifelsfrei erfüllt. Damit musste dem Beschwerdeführer der Führerausweis grundsätzlich zwingend für immer entzogen werden. Das Gesetz lässt diesbezüglich keinen Spielraum für mildere Massnahmen offen. Was der Beschwerdeführer dagegen vorbringt, ist nicht geeignet, das angefochtene Urteil als bundesrechtswidrig erscheinen zu lassen.</w:t>
      </w:r>
    </w:p>
    <w:p>
      <w:r>
        <w:rPr>
          <w:b/>
        </w:rPr>
        <w:t>E. 2.2.1</w:t>
      </w:r>
    </w:p>
    <w:p>
      <w:r>
        <w:t>Unbehelflich ist zunächst der bereits im vorinstanzlichen Verfahren vorgebrachte Einwand des Beschwerdeführers, er habe sich fahrlässig über den Beginn der Administrativmassnahme geirrt, da der Führerausweisentzug am 9. Mai 2018 verfügt, der Beginn der Massnahme jedoch erst auf den 5. November 2018 festgelegt worden sei. Mangels vorsätzlicher Tatbegehung könne ihm deshalb keine schwere Widerhandlung im Sinne von Art. 16c Abs. 1 lit. f SVG vorgeworfen werden. Das Verwaltungsgericht hat dieses Vorbringen bereits zutreffend widerlegt, worauf an dieser Stelle verwiesen werden kann (vgl. vorne E. 2.1 und E. 3.4 des angefochtenen Urteils). Ebenso zutreffend hat es ausgeführt, dass sich der anwaltlich vertretene Beschwerdeführer insoweit ohnehin den Sachverhalt des ihn wegen Fahrens trotz Entzugs verurteilenden und unangefochten gebliebenen Strafbefehls vom 19. September 2019 entgegenhalten lassen muss (zur Bindungswirkung eines Strafurteils im Administrativmassnahmenverfahren vgl. BGE 139 II 95 E. 3.2 S. 101 f. mit Hinweisen). In diesem wurde in tatsächlicher Hinsicht festgehalten, dass der Beschwerdeführer im Tatzeitpunkt vom Fahren ohne Berechtigung wusste bzw. dies zumindest in Kauf nahm (E. 3.4 des angefochtenen Urteils). Vor diesem Hintergrund ist es nicht zu beanstanden, wenn das Verwaltungsgericht den Vorfall vom 6. November 2018 als eine schwere Widerhandlung gegen die Strassenverkehrsvorschriften qualifiziert hat.</w:t>
      </w:r>
    </w:p>
    <w:p>
      <w:r>
        <w:rPr>
          <w:b/>
        </w:rPr>
        <w:t>E. 2.2.2</w:t>
      </w:r>
    </w:p>
    <w:p>
      <w:r>
        <w:t>Entgegen der Rechtsauffassung des Beschwerdeführers entfaltet ein Führerausweisentzug sodann auch nicht erst mit der physischen Abgabe des Ausweises an das Strassenverkehrsamt seine Rechtswirkung. Vielmehr gilt der Führerausweis ab dem von der Administrativmassnahmenbehörde verfügten Entzugsdatum an als entzogen (Urteil 6B_298/2009 vom 5. August 2009 E. 1.5.4; vgl. auch BERNHARD RÜTSCHE/DENISE WEBER, in: Basler Kommentar SVG, 2014, N. 43 zur Art. 16c SVG ). Die Rüge des Beschwerdeführers, Art. 16c Abs. 1 lit. f SVG sei in seinem Fall nicht einschlägig, da er seinen Führerausweis im Tatzeitpunkt noch gar nicht abgegeben hatte, geht damit fehl.</w:t>
      </w:r>
    </w:p>
    <w:p>
      <w:r>
        <w:rPr>
          <w:b/>
        </w:rPr>
        <w:t>E. 2.2.3</w:t>
      </w:r>
    </w:p>
    <w:p>
      <w:r>
        <w:t>Trotz aller Kritik des Beschwerdeführers erweist sich der Führerausweisentzug für immer auch als verhältnismässig. Es ist erstellt und wird von ihm auch nicht bestritten, dass ihm der Ausweis in den vorangegangenen fünf Jahren bereits einmal wegen einer schweren Widerhandlung auf unbestimmte Zeit entzogen worden ist und dass er nun erneut eine solche schwere Widerhandlung begangen hat. Nach Art. 16c Abs. 2 lit. e SVG ist ihm der Führerausweis daher für immer zu entziehen. Dies entspricht der gesetzlich vorgesehenen Mindestentzugsdauer, die gemäss Art. 16 Abs. 3 Satz 2 SVG nicht unterschritten werden darf. Dass der Führerausweis für das berufliche Fortkommen des als Chauffeur tätigen Beschwerdeführers wichtig ist, mag zwar zutreffen. Im Zusammenhang mit der Massnahmenempfindlichkeit von Berufschauffeuren hat der Gesetzgeber die Möglichkeit einer Unterschreitung der Mindestentzugsdauer aber explizit abgelehnt ( BGE 132 II 234 E. 2.3 S. 236 f. mit Hinweisen; Urteil 1C_442/2017 vom 26. April 2018 E. 3.4). Den Gerichten ist es daher verwehrt, bei besonderen Umständen, wie zum Beispiel bei Berufschauffeuren, eine Unterschreitung der Mindestentzugsdauer zuzulassen ( BGE 135 II 334 E. 2.2 S. 336 f; 132 II 234 E. 2.3 S. 236; Urteil 1C_523/2017 vom 20. März 2017 E. 3.5). Die Vorinstanz durfte daher die Mindestentzugsdauer auch nicht gestützt auf die Massnahmenempfindlichkeit des Beschwerdeführers unterschreiten.</w:t>
      </w:r>
    </w:p>
    <w:p>
      <w:r>
        <w:rPr>
          <w:b/>
        </w:rPr>
        <w:t>E. 2.3</w:t>
      </w:r>
    </w:p>
    <w:p>
      <w:r>
        <w:t>Zusammenfassend erweist sich der im angefochtenen Entscheid geschützte Führerausweisentzug für immer als recht- und verhältnismässig.</w:t>
      </w:r>
    </w:p>
    <w:p>
      <w:r>
        <w:rPr>
          <w:b/>
        </w:rPr>
        <w:t>E. 3</w:t>
      </w:r>
    </w:p>
    <w:p>
      <w:r>
        <w:t>Die Beschwerde ist demnach abzuweisen. Bei diesem Ausgang des Verfahrens hat der unterliegende Beschwerdeführer die Gerichtskosten zu tragen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