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1C_55/2013 vom 28. Januar 2013</w:t>
      </w:r>
    </w:p>
    <w:p>
      <w:r>
        <w:t>Bundesgericht, 2013-01-28, FR</w:t>
      </w:r>
    </w:p>
    <w:p>
      <w:r>
        <w:rPr>
          <w:b/>
        </w:rPr>
        <w:t xml:space="preserve">Quelle: </w:t>
      </w:r>
      <w:r>
        <w:t>https://mcp.opencaselaw.ch/entscheid/bger_1C_55_2013</w:t>
      </w:r>
    </w:p>
    <w:p>
      <w:r>
        <w:t>FR: TF 1C_55/2013 du 28 janvier 2013</w:t>
      </w:r>
    </w:p>
    <w:p>
      <w:r>
        <w:t>IT: TF 1C_55/2013 del 28 gennaio 2013</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2</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2.1</w:t>
      </w:r>
    </w:p>
    <w:p>
      <w:r>
        <w:t>La présente espèce porte certes sur la transmission de renseignements touchant le domaine secret. Toutefois, compte tenu de la nature de la transmission contestée (quatre procès-verbaux d'audition établis dans le cadre d'une procédure pénale suisse), le cas ne revêt en soi aucune importance particulière.</w:t>
      </w:r>
    </w:p>
    <w:p>
      <w:r>
        <w:rPr>
          <w:b/>
        </w:rPr>
        <w:t>E. 2.2</w:t>
      </w:r>
    </w:p>
    <w:p>
      <w:r>
        <w:t>Le recourant tente en vain de démontrer le contraire. Il estime qu'au moment de ses déclarations, il n'aurait pas été informé de la possibilité d'une transmission aux autorités étrangères, et n'aurait pu se prévaloir dans cette perspective du droit de se taire et de ne pas s'incriminer. La Cour des plaintes s'en est toutefois tenue, sur ces points, à la pratique suivie jusque-là.</w:t>
      </w:r>
    </w:p>
    <w:p>
      <w:r>
        <w:t>Selon la jurisprudence, il n'est en effet pas nécessaire, pour autoriser la transmission à l'étranger de procès-verbaux d'auditions établis dans une procédure pénale en Suisse, que l'intéressé ait été préalablement rendu attentif à la possibilité d'une telle transmission. Admettre le contraire obligerait à une réaudition systématique en vue de l'exécution de la procédure d'entraide, ce qui porterait atteinte à une utilisation rationnelle des informations recueillies en Suisse, ainsi qu'à la célérité de la procédure d'entraide ( art. 17a EIMP ). La personne entendue en Suisse peut se prévaloir de son droit de refuser de déposer dans le cadre de la procédure d'entraide. Il lui est en effet loisible d'expliquer que certaines déclarations, susceptibles de lui porter préjudice, n'auraient pas été faites si l'intéressé avait su qu'une autorité étrangère pourrait en prendre connaissance. Saisie d'une telle objection, l'autorité suisse d'exécution devrait alors se livrer à une pesée d'intérêts dans le cadre de l'examen de la proportionnalité; l'intéressé pourrait pour sa part proposer le caviardage de certaines déclarations particulières, soit qu'elles portent de manière disproportionnée atteinte à la sphère privée, soit qu'elles sont sans rapport avec l'enquête ouverte à l'étranger. De ce point de vue, la protection des personnes entendues en Suisse apparaît suffisante (arrêt 1A.268/2004 du 11 février 2005, consid. 4.1).</w:t>
      </w:r>
    </w:p>
    <w:p>
      <w:r>
        <w:t>En l'occurrence, quel que soit le contexte dans lequel ont eu lieu les auditions du recourant, celui-ci (entendu à trois reprises comme prévenu) était à même de faire valoir son droit de refuser de déposer. La procédure d'entraide - et de recours - lui aurait par ailleurs permis de faire valoir ses objections, dans la mesure rappelée ci-dessus. Or, on ne voit pas - et le recourant ne l'indique d'ailleurs pas - quels motifs particuliers de refus il aurait pu faire valoir s'agissant au demeurant d'une procédure étrangère dans laquelle il n'est, en l'état, que simple témoin.</w:t>
      </w:r>
    </w:p>
    <w:p>
      <w:r>
        <w:t>C'est dès lors à juste titre que la Cour des plaintes a retenu que le recourant pouvait faire valoir ses objections dans le cadre de la procédure de recours, et que cela lui garantissait une protection juridique suffisante.</w:t>
      </w:r>
    </w:p>
    <w:p>
      <w:r>
        <w:rPr>
          <w:b/>
        </w:rPr>
        <w:t>E. 2.3</w:t>
      </w:r>
    </w:p>
    <w:p>
      <w:r>
        <w:t>La présente cause ne saurait, sur le vu de ce qui précède, être considérée comme une affaire de principe. Pour le surplus, le cas ne revêt aucune importance particulière au regard de l' art. 84 LTF , dont il convient de rappeler que le but est de limiter fortement l'accès au Tribunal fédéral dans le domaine de l'entraide judiciaire, en ne permettant de recourir que dans un nombre très limité de cas ( ATF 133 IV 125 , 129, 131, 132).</w:t>
      </w:r>
    </w:p>
    <w:p>
      <w:r>
        <w:rPr>
          <w:b/>
        </w:rPr>
        <w:t>E. 3</w:t>
      </w:r>
    </w:p>
    <w:p>
      <w:r>
        <w:t>Le recours est dès lors d'emblée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