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1C_55/2012 vom 27. Juni 2013</w:t>
      </w:r>
    </w:p>
    <w:p>
      <w:r>
        <w:t>Bundesgericht, 2013-06-27, FR</w:t>
      </w:r>
    </w:p>
    <w:p>
      <w:r>
        <w:rPr>
          <w:b/>
        </w:rPr>
        <w:t xml:space="preserve">Quelle: </w:t>
      </w:r>
      <w:r>
        <w:t>https://mcp.opencaselaw.ch/entscheid/bger_1C_55_2012</w:t>
      </w:r>
    </w:p>
    <w:p>
      <w:r>
        <w:t>FR: TF 1C_55/2012 du 27 juin 2013</w:t>
      </w:r>
    </w:p>
    <w:p>
      <w:r>
        <w:t>IT: TF 1C_55/2012 del 27 giugno 2013</w:t>
      </w:r>
    </w:p>
    <w:p>
      <w:pPr>
        <w:pStyle w:val="Heading2"/>
      </w:pPr>
      <w:r>
        <w:t>Erwägungen</w:t>
      </w:r>
    </w:p>
    <w:p>
      <w:r>
        <w:rPr>
          <w:b/>
        </w:rPr>
        <w:t>E. 1.1</w:t>
      </w:r>
    </w:p>
    <w:p>
      <w:r>
        <w:t>Compte tenu de leur connexité, il se justifie de joindre les trois recours, dirigés contre un même acte normatif, afin de statuer en un seul arrêt.</w:t>
      </w:r>
    </w:p>
    <w:p>
      <w:r>
        <w:rPr>
          <w:b/>
        </w:rPr>
        <w:t>E. 1.2</w:t>
      </w:r>
    </w:p>
    <w:p>
      <w:r>
        <w:t>La loi attaquée constitue un acte normatif cantonal et ne peut faire l'objet d'aucun recours dans le canton de Genève. Elle est par conséquent directement attaquable par un recours en matière de droit public ( art. 82 let. b et 87 al. 1 LTF ). Les trois recours, déposés en temps utile ( art. 101 LTF en relation avec l' art. 46 al. 1 let . c LTF) et dans les formes requises ( art. 42 LTF ), sont en principe recevables.</w:t>
      </w:r>
    </w:p>
    <w:p>
      <w:r>
        <w:rPr>
          <w:b/>
        </w:rPr>
        <w:t>E. 1.3</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136 I 17 consid. 2.1 p. 21; 135 II 243 consid. 1.2 p. 246 s. et les arrêts cités). Quant à l'intérêt digne de protection, il n'est pas nécessaire qu'il soit de nature juridique, un intérêt de fait étant suffisant ( ATF 133 I 286 consid. 2.2 p. 290).</w:t>
      </w:r>
    </w:p>
    <w:p>
      <w:r>
        <w:rPr>
          <w:b/>
        </w:rPr>
        <w:t>E. 1.3.1</w:t>
      </w:r>
    </w:p>
    <w:p>
      <w:r>
        <w:t>Les sociétés A.________, C.________ et D.________ sont propriétaires de sites de recyclage de matériaux minéraux situés en zone industrielle et au bénéfice d'une autorisation délivrée après une étude d'impact sur l'environnement. B.________ est également implantée en zone industrielle et son but social est l'exploitation de gravières, le commerce et la fabrication de matériaux de construction. Au vu de leurs activités, les recourantes sont susceptibles d'être touchées par la réglementation attaquée et la qualité pour recourir doit ainsi leur être reconnue.</w:t>
      </w:r>
    </w:p>
    <w:p>
      <w:r>
        <w:rPr>
          <w:b/>
        </w:rPr>
        <w:t>E. 1.3.2</w:t>
      </w:r>
    </w:p>
    <w:p>
      <w:r>
        <w:t>Les communes d'Avusy, de Cartigny, de Chancy, de Laconnex et de Soral sont propriétaires de parcelles partiellement comprises dans le périmètre d'exploitation délimité par le plan directeur des gravières, voire de parcelles voisines de ce périmètre. Elles sont par conséquent susceptibles d'être touchées par la réglementation attaquée et ont qualité pour recourir.</w:t>
      </w:r>
    </w:p>
    <w:p>
      <w:r>
        <w:rPr>
          <w:b/>
        </w:rPr>
        <w:t>E. 1.3.3</w:t>
      </w:r>
    </w:p>
    <w:p>
      <w:r>
        <w:t>Les consorts E.________ et F.________ sont tous propriétaires de parcelles sises entre 50 et 150 m du périmètre de la zone d'exploitation délimitée par le plan directeur des gravières. Susceptibles d'être touchés par les effets de l'acte attaqué, ils sont également légitimés à recourir. La question de la qualité pour agir de l'Association intercommunale du Grain de sable de la Champagne peut dès lors rester indécise.</w:t>
      </w:r>
    </w:p>
    <w:p>
      <w:r>
        <w:rPr>
          <w:b/>
        </w:rPr>
        <w:t>E. 2</w:t>
      </w:r>
    </w:p>
    <w:p>
      <w:r>
        <w:t>Dans leur réplique du 5 juillet 2012, les recourantes A.________, B.________, C.________ et D.________ requièrent une inspection locale.</w:t>
      </w:r>
    </w:p>
    <w:p>
      <w:r>
        <w:t>Cette réquisition, formulée après l'échéance du délai de recours et par conséquent en principe irrecevable ( art. 42 al. 1 LTF ; cf. ATF 132 I 42 consid. 3.3.4 p. 47; cf. FLORENCE AUBRY GIRARDIN, Commentaire LTF, n. 19 ad art. 42), ne peut qu'être rejetée. Le Tribunal fédéral s'estime en effet suffisamment renseigné pour statuer en l'état du dossier et la question à résoudre est purement juridique.</w:t>
      </w:r>
    </w:p>
    <w:p>
      <w:r>
        <w:rPr>
          <w:b/>
        </w:rPr>
        <w:t>E. 3</w:t>
      </w:r>
    </w:p>
    <w:p>
      <w:r>
        <w:t>Les recourants contestent les nouvelles dispositions de la LGEA introduites par la loi litigieuse, en tant qu'elles permettent dorénavant qu'une gravière en cours d'exploitation soit utilisée pour déposer des matériaux étrangers à cette gravière et que le site d'exploitation d'une gravière abrite des installations utilisées pour le traitement de matériaux de provenance extérieure à la gravière. Ils estiment que ces activités et installations ne sont pas conformes à l'affectation de la zone gravière, ni imposées par leur destination hors de la zone à bâtir, mais doivent rester implantées en zone industrielle. Les modifications litigieuses seraient dès lors incompatibles avec la loi fédérale du 22 juin 1979 sur l'aménagement du territoire (LAT; RS 700).</w:t>
      </w:r>
    </w:p>
    <w:p>
      <w:r>
        <w:t>Dans le cadre d'un contrôle abstrait, le Tribunal fédéral s'impose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(arrêt 2C_506/2008 du 2 février 2009, consid. 2; ATF 129 I 12 consid. 3.2 p. 15; 128 I 327 consid. 3.1 p. 334 s. et les arrêts cités).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134 I 293 consid. 2 p. 295; 130 I 82 consid. 2.1 p. 86; 119 Ia 321 consid. 4 p. 325 s.). Le Tribunal fédéral fait aussi preuve de retenue lorsqu'il s'agit de tenir compte de circonstances locales ou de trancher de pures questions d'appréciation ( ATF 121 I 279 consid. 3d p. 284; 120 Ia 74 consid. 5 p. 79).</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 135 I 106 consid. 2.1 p. 108; 131 I 333 consid. 2.1 p. 335 et les arrêts cités).</w:t>
      </w:r>
    </w:p>
    <w:p>
      <w:r>
        <w:rPr>
          <w:b/>
        </w:rPr>
        <w:t>E. 4</w:t>
      </w:r>
    </w:p>
    <w:p>
      <w:r>
        <w:t>Les zones de gravière sont des autres zones d'affectation au sens de l' art. 18 LAT . Le régime des autorisations de construire à l'intérieur de ces zones varie selon que la zone est ou non constructible (art. 22 à 24 LAT). Dans le canton de Genève, les zones de gravière sont, en règle générale, délimitées dans la zone agricole (art. 21A de la loi cantonale d'application de la LAT du 4 juin 1987 (LaLAT; RS/GE L 1 30). Les constructions qui respectent la destination de cette zone sont alors autorisées selon l' art. 22 LAT , mais l' art. 24 LAT reste applicable pour les constructions et les installations non conformes à la destination de telles zones.</w:t>
      </w:r>
    </w:p>
    <w:p>
      <w:r>
        <w:t>Aux termes de l' art. 24 LAT , des autorisations peuvent être délivrées en dérogation à l'art. 22, al. 2, let. a, pour de nouvelles constructions ou installations ou pour tout changement d'affectation si l'implantation de ces constructions ou installations hors de la zone à bâtir est imposée par leur destination (let. a) et si aucun intérêt prépondérant ne s'y oppose (let. b).</w:t>
      </w:r>
    </w:p>
    <w:p>
      <w:r>
        <w:t>Une construction ou installation est imposée par sa destination hors de la zone à bâtir si, pour des motifs objectifs, elle ne peut remplir ses fonctions que si elle est réalisée à un endroit déterminé (aspect positif de l'exigence; positive Standortgebundenheit ). Tel est le cas des carrières, gravières et glaisières, qui doivent être implantées là où gisent les matériaux recherchés et où leur extraction est réalisable d'un point de vue technique et économique, mais non pas d'un dépôt de matériaux de récupération ( ATF 112 Ib 277 consid. 6a). La démonstration des raisons objectives doit aussi comprendre un exposé de la durée du besoin: les constructions et installations qui ne sont plus utilisées après une brève période d'exploitation peuvent tout au plus être autorisées - si le besoin ne peut être satisfait à l'intérieur de la zone à bâtir - pour une durée limitée, après quoi elles devront être supprimées (Rudolf Muggli, Commentaire LAT, n. 10 ad art. 24 LAT ).</w:t>
      </w:r>
    </w:p>
    <w:p>
      <w:r>
        <w:t>Un ouvrage est également imposé par sa destination hors de la zone à bâtir s'il est exclu de l'implanter en zone à bâtir en raison des immissions qu'il produit (aspect négatif de l'exigence; negative Standortgebundenheit ); cette question ne doit pas être traitée de manière abstraite mais en fonction du cas d'espèce et de la situation régionale. La raison invoquée doit également être objective.</w:t>
      </w:r>
    </w:p>
    <w:p>
      <w:r>
        <w:t>L'implantation hors de la zone à bâtir d'une nouvelle construction ou installation, appartenant à la même exploitation déjà autorisée, n'est pas automatiquement imposée par sa destination. On peut toutefois l'admettre si l'entreprise principale justifie d'un besoin particulier, économique ou technique, d'implanter l'installation complémentaire au lieu prévu et selon les dimensions envisagées ( PIERMARCO ZEN-RUFFINEN/ CHRISTINE GUY-ECABERT, Aménagement du territoire, construction, expropriation, 2001, ch. 577; Muggli, op. cit., n. 13 ad art. 24 LAT ; arrêt 1A.115/2003 du 23 février 2004 consid. 2.6; ATF 124 II 252 consid. 4).</w:t>
      </w:r>
    </w:p>
    <w:p>
      <w:r>
        <w:rPr>
          <w:b/>
        </w:rPr>
        <w:t>E. 5.1</w:t>
      </w:r>
    </w:p>
    <w:p>
      <w:r>
        <w:t>En l'espèce, la LGEA a pour but de planifier l'extraction des matériaux en vue d'une utilisation rationnelle du territoire, de garantir un approvisionnement du canton en gravier, sable et argile indigènes en quantité et diversité suffisantes, de promouvoir une valorisation optimale des matériaux minéraux et de veiller à un remblayage des gravières dans le respect des législations fédérale et cantonale en matière de gestion des déchets et de protection de la nature et du paysage (art. 2 al. 1 LGEA). Afin de garantir le respect des buts énoncés ci-avant, l'exploitation des gravières est subordonnée à l'élaboration d'un plan directeur des gravières, à l'adoption d'un plan d'affectation, dit "plan d'extraction", et à l'octroi d'une autorisation d'exploiter (art. 3 LGEA).</w:t>
      </w:r>
    </w:p>
    <w:p>
      <w:r>
        <w:t>Le canton de Genève pose ainsi les bases légales de la planification des gravières et exploitations assimilées. Cette étape législative est, en soi, conforme aux exigences du droit fédéral.</w:t>
      </w:r>
    </w:p>
    <w:p>
      <w:r>
        <w:t>Les plans d'extraction, élaborés par le département compétent ou présentés par les propriétaires, doivent permettre d'effectuer une pesée globale de tous les intérêts concernant l'aménagement du territoire, la protection de l'environnement, la gestion des eaux et la protection de la nature et du paysage (art. 7 LGEA). Le département devra en outre se conformer au principe de coordination au sens de l' art. 25a LAT . En vertu de l'art. 6 al. 1 LGEA, ces plans sont adoptés par le Conseil d'Etat, conformément à l'art. 15 al. 2 de la loi cantonale d'application de la LAT du 4 juin 1987 (LaLAT; RS/GE L 1 30) et selon la procédure prévue à l'art. 5 de la loi cantonale du 9 mars 1929 sur l'extension des voies de communication et l'aménagement des quartiers ou localités (LExt; RS/GE L 1 40). Ils sont ainsi notamment soumis à une enquête publique et peuvent faire l'objet d'opposition avant d'être adoptés par le Conseil d'Etat.</w:t>
      </w:r>
    </w:p>
    <w:p>
      <w:r>
        <w:t>Dès que le plan d'extraction a été adopté par le Conseil d'Etat, les autorisations d'exploiter sont délivrées par le service cantonal compétent après avoir examiné les différents préavis sectoriels et effectué une pesée des intérêts (cf. art. 8 ss LGEA).</w:t>
      </w:r>
    </w:p>
    <w:p>
      <w:r>
        <w:rPr>
          <w:b/>
        </w:rPr>
        <w:t>E. 5.2</w:t>
      </w:r>
    </w:p>
    <w:p>
      <w:r>
        <w:t>Les modifications litigieuses de la LGEA prévoient la possibilité d'entreposer et/ou de traiter dans une gravière des matériaux minéraux de provenance extérieure à la gravière, au moyen d'installations de recyclage et d'élimination des déchets temporaires. Cette possibilité n'est pas a priori contraire au droit fédéral puisque, en vertu de l' art. 24 LAT , une construction ou installation peut être autorisée en zone gravière, en dérogation à l' art. 22 al. 2 LAT , si elle est imposée par sa destination hors de la zone à bâtir, s'il est exclu de l'implanter en zone à bâtir ou si l'entreprise principale justifie d'un besoin particulier d'implanter l'installation complémentaire à l'endroit prévu (cf. consid. 4 ci-dessus).</w:t>
      </w:r>
    </w:p>
    <w:p>
      <w:r>
        <w:t>La question de savoir si, dans un cas particulier, une gravière peut obtenir l'autorisation de stocker provisoirement et/ou traiter sur son site des déchets minéraux de provenance extérieure, doit être examinée dans le cadre de la procédure d'adoption du plan d'extraction ou, au plus tard, lors de la délivrance de l'autorisation d'exploiter. Il appartiendra en effet à l'autorité compétente de contrôler, à ces stades, la conformité de ces activités et installations aux exigences du droit fédéral - en particulier de l' art. 24 LAT ainsi que des lois sur la protection de l'environnement et sur la protection des eaux - et du droit cantonal topique.</w:t>
      </w:r>
    </w:p>
    <w:p>
      <w:r>
        <w:t>Le plan d'extraction et l'autorisation d'exploiter peuvent au demeurant faire l'objet d'un contrôle judiciaire et les participants à la procédure pourront alors faire vérifier si les dispositions litigieuses sont effectivement interprétées de façon conforme au droit fédéral.</w:t>
      </w:r>
    </w:p>
    <w:p>
      <w:r>
        <w:t>Sur le vu de ce qui précède, les modifications contestées de la LGEA ne consacrent pas une violation de la LAT. Le recours doit être rejeté sur ce point.</w:t>
      </w:r>
    </w:p>
    <w:p>
      <w:r>
        <w:rPr>
          <w:b/>
        </w:rPr>
        <w:t>E. 6</w:t>
      </w:r>
    </w:p>
    <w:p>
      <w:r>
        <w:t>Les recourantes A.________, B.________, C.________ et D.________ se plaignent encore d'une violation des principes de l'égalité ( art. 8 Cst. ) et de la liberté économique ( art. 27 Cst. ). Elles font valoir qu'une restriction à la liberté économique implique, conformément à l' art. 36 Cst. , l'obligation pour l'Etat de respecter l'égalité entre concurrents directs. Or, avec les modifications litigieuses, une activité de recyclage pourra dorénavant être autorisée en zone agricole, où le prix du terrain est de 10 fr. le m2 (contre 150 fr. en zone industrielle). Il sera ainsi très problématique pour les recourantes de rester concurrentielles avec leurs installations situées en zone industrielle.</w:t>
      </w:r>
    </w:p>
    <w:p>
      <w:r>
        <w:t>Il s'avère effectivement que les dispositions modifiées de la LGEA peuvent avoir pour conséquence de favoriser certaines installations de recyclage, sises en zone de gravière, où le prix du terrain est moins élevé qu'en zone industrielle. Il ne faut toutefois pas perdre de vue que les installations de traitement de matériaux minéraux autorisées sur les sites des gravières n'auront qu'un caractère provisoire (cf. art. 15 al. 3 LGEA). Elles ne peuvent dès lors pas être comparées à des installations sises en zone industrielle. Au surplus, une éventuelle restriction à la liberté économique est justifiée par des intérêts publics prépondérants et est proportionnée au but visé. Il ressort en effet de l'exposé des motifs du Conseil d'Etat que l'interdiction de traiter des matériaux étrangers à la gravière entraverait fortement les opportunités de recyclage, en particulier pour les matériaux d'excavation dont une part pourrait être valorisée. Le traitement de matériaux minéraux sur le site d'une gravière ne remettrait par ailleurs pas en question le retour de la zone de gravière, une fois remblayée, à son affectation d'origine.</w:t>
      </w:r>
    </w:p>
    <w:p>
      <w:r>
        <w:t>Il s'ensuit que l'éventuelle inégalité de traitement entre concurrents induite par les modifications litigieuses est compatible avec l' art. 36 Cst.</w:t>
      </w:r>
    </w:p>
    <w:p>
      <w:r>
        <w:rPr>
          <w:b/>
        </w:rPr>
        <w:t>E. 7</w:t>
      </w:r>
    </w:p>
    <w:p>
      <w:r>
        <w:t>Les considérants qui précèdent conduisent au rejet des recours. Les recourants, qui succombent, doivent supporter les frais judiciaires (art. 65 et 66 al. 1 TF). Conformément à l' art. 66 al. 4 LTF , les communes d'Avusy, de Cartigny, de Chancy, de Laconnex et de Soral ne sont pas assujetties aux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