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1C_559/2012 vom 6. Dezember 2012</w:t>
      </w:r>
    </w:p>
    <w:p>
      <w:r>
        <w:t>Bundesgericht, 2012-12-06, IT</w:t>
      </w:r>
    </w:p>
    <w:p>
      <w:r>
        <w:rPr>
          <w:b/>
        </w:rPr>
        <w:t xml:space="preserve">Quelle: </w:t>
      </w:r>
      <w:r>
        <w:t>https://mcp.opencaselaw.ch/entscheid/bger_1C_559_2012</w:t>
      </w:r>
    </w:p>
    <w:p>
      <w:r>
        <w:t>FR: TF 1C_559/2012 du 6 décembre 2012</w:t>
      </w:r>
    </w:p>
    <w:p>
      <w:r>
        <w:t>IT: TF 1C_559/2012 del 6 dicembre 2012</w:t>
      </w:r>
    </w:p>
    <w:p>
      <w:pPr>
        <w:pStyle w:val="Heading2"/>
      </w:pPr>
      <w:r>
        <w:t>Erwägungen</w:t>
      </w:r>
    </w:p>
    <w:p>
      <w:r>
        <w:rPr>
          <w:b/>
        </w:rPr>
        <w:t>E. 1</w:t>
      </w:r>
    </w:p>
    <w:p>
      <w:r>
        <w:t>Presentato tempestivamente contro una decisione finale dell'ultima istanza cantonale, che ha confermato il diniego della licenza edilizia per l'opera stradale progettata, il ricorso in materia di diritto pubblico è ammissibile sotto il profilo degli art. 82 lett. a, 86 cpv. 1 lett. d, 90 e 100 cpv. 1 LTF. La legittimazione della ricorrente giusta l' art. 89 cpv. 1 LTF è pacifica.</w:t>
      </w:r>
    </w:p>
    <w:p>
      <w:r>
        <w:rPr>
          <w:b/>
        </w:rPr>
        <w:t>E. 2.1</w:t>
      </w:r>
    </w:p>
    <w:p>
      <w:r>
        <w:t>La ricorrente lamenta la violazione del diritto di essere sentita e l'accertamento arbitrario dei fatti, rimproverando alla Corte cantonale di avere statuito senza esperire un sopralluogo. Riconosce che gli atti contengono fotografie, planimetrie e piani che consentono di chiarire la situazione. Sostiene tuttavia che una visita dei luoghi avrebbe comunque permesso di constatare l'effettiva larghezza del tracciato esistente, la ripidità del terreno e la sua inidoneità all'agricoltura. La conoscenza della conformazione del terreno avrebbe inoltre consentito di rendersi conto della possibile instabilità del pendio e di valutare diversamente la proposta di ripristino. La ricorrente critica inoltre la mancata presa in considerazione dei fatti intercorsi tra il 13 marzo 2009 e il 16 settembre 2009, idonei a dimostrare che la presentazione della domanda di costruzione sarebbe stata richiesta dall'autorità e che sarebbe data la sua buona fede.</w:t>
      </w:r>
    </w:p>
    <w:p>
      <w:r>
        <w:rPr>
          <w:b/>
        </w:rPr>
        <w:t>E. 2.2</w:t>
      </w:r>
    </w:p>
    <w:p>
      <w:r>
        <w:t>Ora, come rilevato dalla Corte cantonale, oggetto della presente controversia è la conformità al diritto vigente dell'opera stradale presentata con la domanda di costruzione del 16 settembre 2009. Al riguardo, le caratteristiche del progetto e la situazione dei luoghi risultano con sufficiente chiarezza dagli atti, segnatamente dai piani e dalla descrizione della domanda di costruzione, nonché dalla documentazione concernente la precedente procedura dell'ordine di ripristino, richiamata dalla Corte cantonale. Senza violare il diritto di essere sentito della ricorrente, la precedente istanza poteva quindi ritenere superfluo un sopralluogo e rinunciare di conseguenza ad esperirlo sulla base di un apprezzamento anticipato della sua irrilevanza.</w:t>
      </w:r>
    </w:p>
    <w:p>
      <w:r>
        <w:t>Adducendo poi che il tracciato esistente sul fondo sarebbe largo 2-3 m (e non 3-4 m come ritenuto dalla Corte cantonale), che la particella non si presterebbe a uno sfruttamento agricolo e presenterebbe rischi di scoscendimenti e che la presentazione della domanda di costruzione sarebbe stata richiesta dall'autorità, la ricorrente non sostanzia accertamenti manifestamente in contrasto con gli atti e quindi arbitrari. Le caratteristiche del tracciato esistente, soggetto a un ordine di ripristino cresciuto in giudicato, non sono peraltro decisive per la procedura edilizia in esame, riconducibile alla domanda di costruzione del 16 settembre 2009. Né è determinante l'idoneità o meno della particella ad uno sfruttamento agricolo, giacché non è qui in discussione la sua eventuale destinazione agricola giusta l' art. 16 LPT , ma la possibilità di realizzare il progetto stradale su un fondo situato fuori della zona edificabile. A torto la ricorrente rimette in discussione in questa sede l'ordine di ripristino di cui alla precedente procedura, conclusa con il giudizio del 30 maggio 2008 di questa Corte. Al riguardo, nella sentenza del 10 dicembre 2007 (consid. 3.2, pag. 7), il Tribunale cantonale amministrativo ha rilevato che "ripristinare il pendio naturale preesistente significa semplicemente chiudere gli sbancamenti eseguiti sul lato a monte della strada eliminando nel contempo i terrapieni realizzati sul lato opposto". Ha inoltre ritenuto, in modo sostenibile, che il provvedimento di ripristino non comportava particolari difficoltà di ordine tecnico o costi sproporzionati (cfr. sentenza 1C_49/2008 del 30 maggio 2008, consid. 3). Criticando il fatto di avere dovuto inoltrare una domanda di costruzione, la ricorrente disattende che l'intervento da lei previsto è diverso dal ripristino ordinato dall'autorità.</w:t>
      </w:r>
    </w:p>
    <w:p>
      <w:r>
        <w:rPr>
          <w:b/>
        </w:rPr>
        <w:t>E. 2.3</w:t>
      </w:r>
    </w:p>
    <w:p>
      <w:r>
        <w:t>La ricorrente fa valere una violazione del principio della buona fede, adducendo di essersi adeguata alle indicazioni delle autorità, che le avrebbero chiesto di presentare formalmente una domanda di costruzione per gli interventi da lei prospettati il 13 marzo 2009.</w:t>
      </w:r>
    </w:p>
    <w:p>
      <w:r>
        <w:t>Sollevando questa censura, la ricorrente non fa valere una violazione del diritto ( art. 95 LTF ) con una motivazione conforme alle esigenze dell' art. 42 cpv. 2 LTF . In particolare non sostiene, né dimostra, che le sarebbe stata rilasciata dall'autorità competente un'assicurazione concreta che le avrebbe consentito di riporre la sua fiducia nell'ottenimento del permesso di costruzione per il prospettato progetto stradale (cfr., sul principio della buona fede, la sentenza 1C_49/2008, citata, consid. 5).</w:t>
      </w:r>
    </w:p>
    <w:p>
      <w:r>
        <w:rPr>
          <w:b/>
        </w:rPr>
        <w:t>E. 3.1</w:t>
      </w:r>
    </w:p>
    <w:p>
      <w:r>
        <w:t>La ricorrente fa poi valere una violazione del principio della legalità, sostenendo che la Corte cantonale avrebbe trattato a torto la strada progettata quale "nuova costruzione". Lamenta inoltre una disparità di trattamento, richiamando uno stralcio della sentenza del 10 dicembre 2007 della Corte cantonale in cui sono messe in dubbio le pretese difficoltà ad eseguire il ripristino del terreno.</w:t>
      </w:r>
    </w:p>
    <w:p>
      <w:r>
        <w:rPr>
          <w:b/>
        </w:rPr>
        <w:t>E. 3.2</w:t>
      </w:r>
    </w:p>
    <w:p>
      <w:r>
        <w:t>Limitandosi a richiamare genericamente il principio della legalità, la ricorrente non fa tuttavia valere una violazione dello stesso in relazione con uno specifico diritto costituzionale (cfr. art. 36 cpv. 1 Cost. ; DTF 130 I 388 consid. 4 e riferimenti). Non lamenta in particolare l'assenza di una base legale sufficientemente determinata, né fa valere una violazione delle disposizioni applicate dalla precedente istanza, segnatamente degli art. 24 e 24c LPT . Né la ricorrente spiega, con una motivazione conforme agli art. 42 cpv. 2 e 106 cpv. 2 LTF, in che misura casi simili alla fattispecie sarebbero stati trattati in modo diverso senza motivi oggettivi da parte della stessa autorità (cfr., sulla garanzia della parità di trattamento, DTF 130 I 65 consid. 3.6 e rinvii). In tali circostanze, il gravame, che rimette nuovamente in discussione l'ordine di ripristino oggetto della precedente procedura, non deve essere esaminato oltre.</w:t>
      </w:r>
    </w:p>
    <w:p>
      <w:r>
        <w:rPr>
          <w:b/>
        </w:rPr>
        <w:t>E. 3.3</w:t>
      </w:r>
    </w:p>
    <w:p>
      <w:r>
        <w:t>Né occorre vagliare se la strada rispetta la distanza minima dal bosco, giacché la relativa considerazione contenuta nel giudizio impugnato è abbondanziale.</w:t>
      </w:r>
    </w:p>
    <w:p>
      <w:r>
        <w:rPr>
          <w:b/>
        </w:rPr>
        <w:t>E. 4</w:t>
      </w:r>
    </w:p>
    <w:p>
      <w:r>
        <w:t>Ne segue che il ricorso deve essere respinto nella misura della sua ammissibilità. Le spese seguono la soccombenza e sono quindi poste a carico della ricorrente ( art. 66 cpv. 1 LTF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