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1C_558/2022 vom 28. November 2022</w:t>
      </w:r>
    </w:p>
    <w:p>
      <w:r>
        <w:t>Bundesgericht, 2022-11-28, DE</w:t>
      </w:r>
    </w:p>
    <w:p>
      <w:r>
        <w:rPr>
          <w:b/>
        </w:rPr>
        <w:t xml:space="preserve">Quelle: </w:t>
      </w:r>
      <w:r>
        <w:t>https://mcp.opencaselaw.ch/entscheid/bger_1C_558_2022</w:t>
      </w:r>
    </w:p>
    <w:p>
      <w:r>
        <w:t>FR: TF 1C_558/2022 du 28 novembre 2022</w:t>
      </w:r>
    </w:p>
    <w:p>
      <w:r>
        <w:t>IT: TF 1C_558/2022 del 28 novembre 2022</w:t>
      </w:r>
    </w:p>
    <w:p>
      <w:pPr>
        <w:pStyle w:val="Heading2"/>
      </w:pPr>
      <w:r>
        <w:t>Erwägungen</w:t>
      </w:r>
    </w:p>
    <w:p>
      <w:r>
        <w:rPr>
          <w:b/>
        </w:rPr>
        <w:t>E. 1</w:t>
      </w:r>
    </w:p>
    <w:p>
      <w:r>
        <w:t>Am 7. Juni 2022 reichte A.________ Strafanzeige ein gegen die Kantonspolizisten B.________, C.________, D.________, E.________ und F.________ wegen Amtsmissbrauchs etc. ein. Er machte darin geltend, diese Personen seien Angestellte einer privaten Firma und hätten ihn am 11. November 2021, ohne ihm einen echten Ausweis zu zeigen und gefälschte Polizeiuniformen tragend, unrechtmässig einer polizeilichen Kontrolle unterzogen.</w:t>
      </w:r>
    </w:p>
    <w:p>
      <w:r>
        <w:t>Am 6. Juli 2022 überwies die Staatsanwaltschaft die Akten ans Obergericht des Kantons Zürich zum Entscheid über die Erteilung bzw. Nichterteilung der Ermächtigung zur Durchführung einer Strafuntersuchung. Sie beantragte, die Ermächtigung nicht zu erteilen.</w:t>
      </w:r>
    </w:p>
    <w:p>
      <w:r>
        <w:t>Mit Beschluss vom 8. September 2022 erteilte das Obergericht der Staatsanwaltschaft die Ermächtigung zur Eröffnung eines Strafverfahrens gegen B.________, C.________, D.________, E.________ und F.________ nicht.</w:t>
      </w:r>
    </w:p>
    <w:p>
      <w:r>
        <w:t>Mit Eingabe vom 14. Oktober 2022 teilte A.________ dem Obergericht mit, dass er dessen Beschluss für rechtswidrig und ungültig halte.</w:t>
      </w:r>
    </w:p>
    <w:p>
      <w:r>
        <w:t>Am 17. Oktober 2022 hat das Obergericht die Eingabe zuständigkeitshalber dem Bundesgericht überwiesen.</w:t>
      </w:r>
    </w:p>
    <w:p>
      <w:r>
        <w:t>Vernehmlassungen wurden keine eingeholt.</w:t>
      </w:r>
    </w:p>
    <w:p>
      <w:r>
        <w:rPr>
          <w:b/>
        </w:rPr>
        <w:t>E. 2.1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Polizisten, alles Beamte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2.2</w:t>
      </w:r>
    </w:p>
    <w:p>
      <w:r>
        <w:t>Das Obergericht hat im angefochtenen Entscheid nachvollziehbar dargelegt, dass die Beschwerdegegner und die Beschwerdegegnerinnen zur Durchführung der umstrittenen Personenkontrolle befugt waren und diese - was sich insbesondere auch aus den vom Beschwerdeführer darüber gedrehten Videoaufnahmen ergab - korrekt durchführten. Es fand keine Anhaltspunkte für ein strafrechtlich relevantes Fehlverhalten der Beamten und erteilte aus diesem Grund die Ermächtigung zu deren strafrechtlicher Verfolgung nicht.</w:t>
      </w:r>
    </w:p>
    <w:p>
      <w:r>
        <w:t>Mit diesen Erwägungen setzt sich der Beschwerdeführer nicht sachgerecht auseinander, sondern legt in kaum nachvollziehbarer Weise dar, dass die Schweiz eine holdingmässig strukturierte private Firma mit Sitz in Belgien sei, woraus er ableitet, dass Polizeibeamte keine hoheitlichen Befugnisse hätten und ihn daher nicht hätten kontrollieren dürfen. Solche Ausführungen sind untauglich, die offensichtlich zutreffende Einschätzung des Obergerichts, die in der Strafanzeige erhobenen Vorwürfe seien von vornherein nicht geeignet, einen Anfangsverdacht für ein strafbares Verhalten der Beschwerdegegner zu begründen, in Frage zu stellen.</w:t>
      </w:r>
    </w:p>
    <w:p>
      <w:r>
        <w:rPr>
          <w:b/>
        </w:rPr>
        <w:t>E. 2.3</w:t>
      </w:r>
    </w:p>
    <w:p>
      <w:r>
        <w:t>Auf die Beschwerde ist wegen Verletzung der gesetzlichen Begründungspflicht nicht einzutreten. Ausnahmsweise kann auf die Erhebung von 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