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1C_557/2022 vom 27. Oktober 2022</w:t>
      </w:r>
    </w:p>
    <w:p>
      <w:r>
        <w:t>Bundesgericht, 2022-10-27, IT</w:t>
      </w:r>
    </w:p>
    <w:p>
      <w:r>
        <w:rPr>
          <w:b/>
        </w:rPr>
        <w:t xml:space="preserve">Quelle: </w:t>
      </w:r>
      <w:r>
        <w:t>https://mcp.opencaselaw.ch/entscheid/bger_1C_557_2022</w:t>
      </w:r>
    </w:p>
    <w:p>
      <w:r>
        <w:t>FR: TF 1C_557/2022 du 27 octobre 2022</w:t>
      </w:r>
    </w:p>
    <w:p>
      <w:r>
        <w:t>IT: TF 1C_557/2022 del 27 ottobre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400.-- sono poste a carico del ricorrente.</w:t>
      </w:r>
    </w:p>
    <w:p>
      <w:r>
        <w:rPr>
          <w:b/>
        </w:rPr>
        <w:t>E. 3</w:t>
      </w:r>
    </w:p>
    <w:p>
      <w:r>
        <w:t>Comunicazione al ricorrente e alla Commissione ambiente, territorio ed energia della Repubblica e Cantone Ticino.</w:t>
      </w:r>
    </w:p>
    <w:p>
      <w:r>
        <w:t>Losanna, 27 ottobre 2022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