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1C_557/2019 vom 21. April 2020</w:t>
      </w:r>
    </w:p>
    <w:p>
      <w:r>
        <w:t>Bundesgericht, 2020-04-21, FR</w:t>
      </w:r>
    </w:p>
    <w:p>
      <w:r>
        <w:rPr>
          <w:b/>
        </w:rPr>
        <w:t xml:space="preserve">Quelle: </w:t>
      </w:r>
      <w:r>
        <w:t>https://mcp.opencaselaw.ch/entscheid/bger_1C_557_2019</w:t>
      </w:r>
    </w:p>
    <w:p>
      <w:r>
        <w:t>FR: TF 1C_557/2019 du 21 avril 2020</w:t>
      </w:r>
    </w:p>
    <w:p>
      <w:r>
        <w:t>IT: TF 1C_557/2019 del 21 aprile 2020</w:t>
      </w:r>
    </w:p>
    <w:p>
      <w:pPr>
        <w:pStyle w:val="Heading2"/>
      </w:pPr>
      <w:r>
        <w:t>Erwägungen</w:t>
      </w:r>
    </w:p>
    <w:p>
      <w:r>
        <w:rPr>
          <w:b/>
        </w:rPr>
        <w:t>E. 1.1</w:t>
      </w:r>
    </w:p>
    <w:p>
      <w:r>
        <w:t>Le Tribunal fédéral examine d'office sa compétence ( art. 29 al. 1 LTF ). Il contrôle librement la recevabilité des recours qui lui sont soumis ( ATF 145 I 239 consid. 2 p. 241; ATF 144 V 280 consid. 1 p. 282).</w:t>
      </w:r>
    </w:p>
    <w:p>
      <w:r>
        <w:rPr>
          <w:b/>
        </w:rPr>
        <w:t>E. 1.2</w:t>
      </w:r>
    </w:p>
    <w:p>
      <w:r>
        <w:t>Le recours est dirigé contre une décision finale ( art. 90 LTF ), rendue en dernière instance cantonale par un tribunal supérieur ( art. 86 al. 1 let . d et al. 2 LTF) concernant une amende administrative prononcée dans le domaine du droit public des constructions ( art. 82 let. a LTF ). La voie du recours en matière de droit public est partant ouverte. Le recours a en outre été déposé en temps utile ( art. 100 al. 1 LTF ) par le destinataire de l'arrêt attaqué qui a qualité pour recourir au sens de l' art. 89 al. 1 LTF . Les conclusions prises sont en outre recevables ( art. 107 al. 2 LTF ).</w:t>
      </w:r>
    </w:p>
    <w:p>
      <w:r>
        <w:t>Partant, il y a lieu d'entrer en matière.</w:t>
      </w:r>
    </w:p>
    <w:p>
      <w:r>
        <w:rPr>
          <w:b/>
        </w:rPr>
        <w:t>E. 2</w:t>
      </w:r>
    </w:p>
    <w:p>
      <w:r>
        <w:t>Le recourant conteste la validité de la mesure prise le 23 mai 2017 par le Département consistant à lui ordonner de déposer, dans un délai de 30 jours, une demande d'autorisation de construire. Invoquant une violation du principe de la légalité, il fait valoir que l'ordre en cause ne repose sur aucune base légale et que, par conséquent, aucune amende ne peut lui être infligée en vertu du droit cantonal pour n'y avoir pas déféré à temps.</w:t>
      </w:r>
    </w:p>
    <w:p>
      <w:r>
        <w:rPr>
          <w:b/>
        </w:rPr>
        <w:t>E. 2.1</w:t>
      </w:r>
    </w:p>
    <w:p>
      <w:r>
        <w:t>Le principe de la légalité consacré à l' 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L'exigence de précision de la norme (ou de densité normative) est relative et varie selon les domaines. Elle dépend notamment de la gravité des atteintes qu'elle comporte aux droits fondamentaux ( ATF 131 II 13 consid. 6.5.1 p. 29 s.; arrêt 2C_134/2018 du 24 septembre 2018 consid. 4.1 et les références citées).</w:t>
      </w:r>
    </w:p>
    <w:p>
      <w:r>
        <w:t>Le principe de la légalité ne constitue pas un droit constitutionnel distinct, mais uniquement un principe constitutionnel. Le recours en matière de droit public permet de se plaindre directement et indépendamment d'un droit fondamental de la violation de ce principe, au même titre que du principe de la proportionnalité ancré à l' art. 5 al. 2 Cst.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(cf. ATF 134 I 153 consid. 4 p. 156 ss; arrêts 2C_342/2019 du 11 octobre 2019 consid. 5.1; 2C_613/2017 du 16 avril 2018 consid. 3.2; 2C_816/2015 du 18 juillet 2016 consid. 5.1).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318 consid. 5.4 p. 327; 141 III 564 consid. 4.1 p. 566; 138 I 305 consid. 4.3 p. 319).</w:t>
      </w:r>
    </w:p>
    <w:p>
      <w:r>
        <w:rPr>
          <w:b/>
        </w:rPr>
        <w:t>E. 2.2.1</w:t>
      </w:r>
    </w:p>
    <w:p>
      <w:r>
        <w:t>A teneur de l'art. 137 al. 1 LCI, est passible d'une amende administrative de 100 fr. à 150'000 fr. tout contrevenant: à la LCI (let. a), aux règlements et arrêtés édictés en vertu de la LCI (let. b) ainsi qu'aux ordres donnés par le département dans les limites de la LCI et des règlements et arrêtés édictés en vertu de celle-ci (let. c). L'art. 137 al. 2 LCI précise que le montant maximum de l'amende est de 20'000 fr. lorsqu'une construction, une installation ou tout autre ouvrage a été entrepris sans autorisation mais que les travaux sont conformes aux prescriptions légales.</w:t>
      </w:r>
    </w:p>
    <w:p>
      <w:r>
        <w:rPr>
          <w:b/>
        </w:rPr>
        <w:t>E. 2.2.2</w:t>
      </w:r>
    </w:p>
    <w:p>
      <w:r>
        <w:t>Selon l'art. 1 al. 1 LCI, sur tout le territoire du canton, nul ne peut notamment, sans y avoir été autorisé, modifier même partiellement le volume, l'architecture, la couleur, l'implantation, la distribution ou la destination d'une construction ou d'une installation (let. b). Les travaux projetés à l'intérieur d'une villa isolée ou en ordre contigu ne sont toutefois pas soumis à autorisation de construire, pour autant qu'ils ne modifient pas la surface habitable du bâtiment (art. 1 al. 2 LCI). Aucun travail ne doit être entrepris avant que l'autorisation ait été délivrée; si les travaux portent sur une démolition, ils ne peuvent commencer avant l'entrée en force de l'autorisation s'y rapportant (art. 1 al. 7 LCI). Le département est l'autorité administrative chargée de statuer sur les demandes en autorisation de construire (art. 1 al. 6, art. 2 al. 1 et art. 3 al. 3 LCI).</w:t>
      </w:r>
    </w:p>
    <w:p>
      <w:r>
        <w:rPr>
          <w:b/>
        </w:rPr>
        <w:t>E. 2.2.3</w:t>
      </w:r>
    </w:p>
    <w:p>
      <w:r>
        <w:t>En vertu de l'art. 129 LCI, dans les limites des dispositions de l'art. 130 LCI, le département peut ordonner, à l'égard des constructions, des installations ou d'autres choses, les mesures suivantes, à savoir la suspension des travaux (let. a), l'évacuation (let. b), le retrait du permis d'occupation (let. c), l'interdiction d'utiliser ou d'exploiter (let. d) ainsi que la remise en état, la réparation, la modification, la suppression ou la démolition (let. 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w:t>
      </w:r>
    </w:p>
    <w:p>
      <w:r>
        <w:t>L'art. 131 LCI dispose que les propriétaires ou leurs mandataires, les entrepreneurs et les usagers sont tenus de se conformer aux mesures ordonnées par le département en application des art. 129 et 130 LCI. Le département notifie aux intéressés, par lettre recommandée, les mesures qu'il ordonne; il fixe un délai pour leur exécution, à moins qu'il n'invoque l'urgence (art. 132 al. 1 LCI).</w:t>
      </w:r>
    </w:p>
    <w:p>
      <w:r>
        <w:rPr>
          <w:b/>
        </w:rPr>
        <w:t>E. 2.3</w:t>
      </w:r>
    </w:p>
    <w:p>
      <w:r>
        <w:t>La cour cantonale a considéré que, sur la base des éléments constatés le 2 mai 2017, le Département pouvait, en tant qu'autorité chargée du respect de la LCI, prendre des mesures visant à rétablir une situation conforme au droit, l'injonction de déposer, dans un délai de 30 jours, une demande en autorisation de construire permettant justement d'atteindre ce but. Ainsi, cette mesure ordonnée le 23 mai 2017, dont le caractère contraignant découlait de l'art. 1 al. 1 let. b LCI, concrétisait le principe de la proportionnalité, dès lors qu'elle offrait au recourant - et aux autres propriétaires - la possibilité de régulariser la situation et d'y collaborer (cf. arrêt entrepris, consid. 3f p. 11 ss). En outre, la mesure ordonnée l'ayant été " dans les limites de la LCI " (cf. art. 137 al. 1 let . c LCI), le Département pouvait à juste titre, par décision du 15 août 2017, sanctionner l'insoumission à celle-ci d'une amende administrative (cf. arrêt entrepris, consid. 4 p. 14).</w:t>
      </w:r>
    </w:p>
    <w:p>
      <w:r>
        <w:rPr>
          <w:b/>
        </w:rPr>
        <w:t>E. 2.4</w:t>
      </w:r>
    </w:p>
    <w:p>
      <w:r>
        <w:t>Il faut admettre avec la cour cantonale que, dans la mesure où la mesure litigieuse se rapportait au dépôt d'une autorisation de construire et partant à une obligation qui pouvait être déduite de la loi (art. 1 al. 1 let. b LCI; cf. également art. 22 al. 1 de la loi fédérale sur l'aménagement du territoire [LAT; RS 700]), il n'était pas nécessaire que celle-ci soit fondée sur une base légale expresse, l'habilitation à la prononcer résultant déjà du droit matériel (cf. ATF 123 II 248 consid. 4b p. 255; THIERRY TANQUEREL, Manuel de droit administratif, 2</w:t>
      </w:r>
    </w:p>
    <w:p>
      <w:r>
        <w:t>e éd., 2018, n° 1200 p. 410). S'agissant en particulier de l'art. 129 LCI, le Tribunal fédéral a du reste déjà jugé que la compétence du département n'était pas limitée aux seuls ordres prévus par cette disposition, mais pouvait également s'étendre à d'autres mesures, pour autant que celles-ci aient elles-mêmes une base légale (cf. arrêt 1C_496/2012 du 12 février 2013 consid. 3.1.2 : l'ordre litigieux portait en l'occurrence sur l'établissement et la production d'un contrat de bail conforme à la loi genevoise du 25 janvier 1996 sur les démolitions, transformations et rénovations de maisons d'habitation [LDTR; RS/GE L5 20]).</w:t>
      </w:r>
    </w:p>
    <w:p>
      <w:r>
        <w:t>Il doit par conséquent être admis qu'au regard du principe de la légalité, le Département pouvait valablement ordonner aux propriétaires, sous menace d'éventuelles autres mesures ou sanctions prévues par la loi, de déposer une autorisation de construire en vue de la régularisation du changement d'affectation et des travaux qui auraient été entrepris sans autorisation. Le recourant ne revient pas spécifiquement sur le caractère proportionné de la mesure administrative en cause. A cet égard, il n'est toutefois guère contestable que l'injonction adressée aux propriétaires, rendue nécessaire en vue de la régularisation sus-évoquée, était apte à atteindre le résultat escompté, alors qu'en vertu de l' art. 129 let . e CPP, le Département était également habilité à ordonner des mesures plus incisives, telles que la remise en état ou la démolition des constructions en cause. Le recourant ne conteste du reste plus que le délai de 30 jours imparti aux propriétaires était adéquat au regard des circonstances d'espèce.</w:t>
      </w:r>
    </w:p>
    <w:p>
      <w:r>
        <w:t>Quant au prescrit de l' art. 137 al. 1 let . c LCI, il est relevé que cette disposition vise expressément les contrevenants aux " ordres donnés par le département dans les limites de la présente loi ". Dans cette mesure, il apparaît que la norme offre encore un degré de précision suffisant eu égard aux exigences découlant du principe de la légalité, en particulier en termes de prévisibilité de la sanction (cf. ATF 145 IV 470 consid. 4.5 p. 478 s.; ATF 141 IV 279 consid. 1.3.3 p. 282), étant également observé que la décision du 23 mai 2017, qui n'avait pas été contestée par le recourant par la voie d'un recours, réservait alors explicitement " toute sanction justifiée par la situation ".</w:t>
      </w:r>
    </w:p>
    <w:p>
      <w:r>
        <w:rPr>
          <w:b/>
        </w:rPr>
        <w:t>E. 2.5</w:t>
      </w:r>
    </w:p>
    <w:p>
      <w:r>
        <w:t>Au surplus, le recourant ne conteste pas non plus que la demande d'autorisation de construire avait finalement été déposée au-delà du délai imparti par le Département, ni ne revient sur la quotité de l'amende (1000 fr.) qui lui a été infligée.</w:t>
      </w:r>
    </w:p>
    <w:p>
      <w:r>
        <w:rPr>
          <w:b/>
        </w:rPr>
        <w:t>E. 2.6</w:t>
      </w:r>
    </w:p>
    <w:p>
      <w:r>
        <w:t>Au vu de ce qui précède, l'amende administrative prononcée à l'égard du recourant, qui ne consacre pas une violation du principe de la légalité ( art. 5 al. 1 Cst. ), pas plus qu'une application arbitraire du droit cantonal, peut être confirmée.</w:t>
      </w:r>
    </w:p>
    <w:p>
      <w:r>
        <w:rPr>
          <w:b/>
        </w:rPr>
        <w:t>E. 3</w:t>
      </w:r>
    </w:p>
    <w:p>
      <w:r>
        <w:t>Le recours doit être rejeté. Conformément à l' art. 66 al. 1 LTF , les frais judiciaires sont mis à la charge du recourant qui succombe. Le Département, qui a agi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