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1C_557/2018 vom 29. Oktober 2018</w:t>
      </w:r>
    </w:p>
    <w:p>
      <w:r>
        <w:t>Bundesgericht, 2018-10-29, DE</w:t>
      </w:r>
    </w:p>
    <w:p>
      <w:r>
        <w:rPr>
          <w:b/>
        </w:rPr>
        <w:t xml:space="preserve">Quelle: </w:t>
      </w:r>
      <w:r>
        <w:t>https://mcp.opencaselaw.ch/entscheid/bger_1C_557_2018</w:t>
      </w:r>
    </w:p>
    <w:p>
      <w:r>
        <w:t>FR: TF 1C_557/2018 du 29 octobre 2018</w:t>
      </w:r>
    </w:p>
    <w:p>
      <w:r>
        <w:t>IT: TF 1C_557/2018 del 29 ottobre 2018</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vorliegend um die Übermittlung von Informationen aus dem Geheimbereich und damit ein Sachgebiet, bei dem die Beschwerde nach Art. 84 Abs. 1 BGG insoweit möglich ist. Entgegen der Auffassung der Beschwerdeführer handelt es sich jedoch um keinen besonders bedeutenden Fall.</w:t>
      </w:r>
    </w:p>
    <w:p>
      <w:r>
        <w:t>Die Vorinstanz hat sich mit den Einwänden der Beschwerdeführer eingehend auseinandergesetzt. Die vorinstanzlichen Erwägungen, auf welche gemäss Art. 109 Abs. 3 BGG verwiesen werden kann, stützen sich auf die bundesgerichtliche Rechtsprechung, auf die zurückzukommen kein Anlass besteht, und lassen keine Bundesrechtsverletzung erkennen. Das gilt insbesondere, soweit die Vorinstanz die Verhältnismässigkeit der Rechtshilfe bejaht (angefochtener Entscheid E. 5 S. 12 ff.; Urteil 1C_327/2018 vom 6. Juli 2018 E. 1.2). Rechtsfragen von grundsätzlicher Bedeutung stellen sich nicht. Auch sonst wie kommt der Angelegenheit keine aussergewöhnliche Tragweite zu. Für das Bundesgericht besteht deshalb kein Anlass, die Sache an die Hand zu nehmen.</w:t>
      </w:r>
    </w:p>
    <w:p>
      <w:r>
        <w:t>Die Beschwerde ist demnach unzulässig.</w:t>
      </w:r>
    </w:p>
    <w:p>
      <w:r>
        <w:rPr>
          <w:b/>
        </w:rPr>
        <w:t>E. 2</w:t>
      </w:r>
    </w:p>
    <w:p>
      <w:r>
        <w:t>Bei diesem Ausgang des Verfahrens tragen die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