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1C_557/2011 vom 8. Februar 2012</w:t>
      </w:r>
    </w:p>
    <w:p>
      <w:r>
        <w:t>Bundesgericht, 2012-02-08, FR</w:t>
      </w:r>
    </w:p>
    <w:p>
      <w:r>
        <w:rPr>
          <w:b/>
        </w:rPr>
        <w:t xml:space="preserve">Quelle: </w:t>
      </w:r>
      <w:r>
        <w:t>https://mcp.opencaselaw.ch/entscheid/bger_1C_557_2011</w:t>
      </w:r>
    </w:p>
    <w:p>
      <w:r>
        <w:t>FR: TF 1C_557/2011 du 8 février 2012</w:t>
      </w:r>
    </w:p>
    <w:p>
      <w:r>
        <w:t>IT: TF 1C_557/2011 del 8 febbraio 2012</w:t>
      </w:r>
    </w:p>
    <w:p>
      <w:pPr>
        <w:pStyle w:val="Heading2"/>
      </w:pPr>
      <w:r>
        <w:t>Erwägungen</w:t>
      </w:r>
    </w:p>
    <w:p>
      <w:r>
        <w:rPr>
          <w:b/>
        </w:rPr>
        <w:t>E. 1</w:t>
      </w:r>
    </w:p>
    <w:p>
      <w:r>
        <w:t>Dirigé contre l'arrêt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et contraire au but de la loi fédérale du 29 septembre 1952 sur l'acquisition et la perte de la nationalité suisse (LN; RS 141.0).</w:t>
      </w:r>
    </w:p>
    <w:p>
      <w:r>
        <w:rPr>
          <w:b/>
        </w:rPr>
        <w:t>E. 2.1</w:t>
      </w:r>
    </w:p>
    <w:p>
      <w:r>
        <w:t>Conformément à l' art. 41 al. 1 LN dans sa teneur jusqu'au 1er mars 2011 et à l'art.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2.1.3</w:t>
      </w:r>
    </w:p>
    <w:p>
      <w:r>
        <w:t>En l'espèce, le Tribunal administratif fédéral a considéré que le laps de temps relativement court entre la déclaration commune (juillet 2005), l'octroi de la naturalisation facilitée (septembre 2005), la séparation du couple (mars 2006), le jugement de divorce (juin 2007) et le remariage du recourant avec une ressortissante libanaise (octobre 2007) fondait la présomption que le couple n'envisageait déjà plus une vie future partagée lors de la signature de la déclaration commune et que la naturalisation facilitée avait été obtenue frauduleusement. Le recourant ne conteste aucun de ces éléments, lesquels sont propres à fonder la présomption que sa naturalisation a été obtenue frauduleusement.</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2.1.4</w:t>
      </w:r>
    </w:p>
    <w:p>
      <w:r>
        <w:t>Pour expliquer une soudaine dégradation du lien conjugal six mois après l'octroi de la naturalisation, le recourant se borne à affirmer, de manière appellatoire de surcroît, que la situation médicale de son ex-épouse s'est dégradée durant cette période, de sorte que "le couple a pris conscience que leur avenir se déroulerait dorénavant séparément". Nonobstant le fait que cet élément ne permet pas d'établir qu'en juillet 2005, au moment de la signature de la déclaration commune, l'harmonie existait toujours au sein du couple au point d'envisager la continuation de leur vie maritale pour une période durable, le recourant perd de vue que le Tribunal administratif fédéral a retenu que le certificat médical établi le 29 octobre 2009 par un médecin généraliste ne fournissait aucune explication médicale propre à démontrer que l'affection dont souffrait l'ex-épouse se serait dégradée de manière extrêmement rapide entre le moment de la signature de la déclaration commune et la date de la séparation des ex-époux, au point d'exercer une influence sur leur vie de couple, tous deux disant former une communauté de vie conjugale intacte et stable à peine quelques mois auparavant. L'argument du recourant manque donc de pertinence, ce d'autant plus que l'intéressé ne nie pas que les difficultés conjugales entre les époux avaient commencé quelques années plus tôt, notamment depuis l'opération subie par son ex-épouse en 2001. Ce dernier élément tend d'ailleurs plutôt à renforcer la présomption établie par l'instance précédente.</w:t>
      </w:r>
    </w:p>
    <w:p>
      <w:r>
        <w:t>Au demeurant, le fait que le recourant ait continué à soutenir son ex-épouse malade, qu'il ne l'ait jamais trompée et qu'il ait toujours travaillé est sans incidence sur le présent litige, puisqu'on ne voit pas en quoi il serait en mesure d'établir que les ex-époux formaient une communauté stable lors de la signature de la déclaration commune. De même, le fait - dont se prévaut le recourant - que le mariage était sincère est sans pertinence pour l'examen de la question de savoir s'il y a eu obtention frauduleuse de naturalisation au sens de l' art. 41 LN , vu la jurisprudence susmentionnée. Enfin, nonobstant le fait que les époux ont déposé une requête commune de divorce, il importe peu pour l'issue de la cause que l'ex-épouse ait été à l'origine de la procédure de séparation.</w:t>
      </w:r>
    </w:p>
    <w:p>
      <w:r>
        <w:t>On ne voit pas non plus en quoi le Tribunal administratif fédéral aurait violé "le respect de la vie privée de l'intéressé", en retenant que le remariage du recourant avec une femme plus jeune, quatre mois après le prononcé du divorce, était un indice du fait que la stabilité requise du mariage n'existait déjà plus au moment de la signature de la déclaration commune.</w:t>
      </w:r>
    </w:p>
    <w:p>
      <w:r>
        <w:t>Pour le reste, l'intéressé se contente de critiquer les éléments que l'instance précédente a retenus, non pas pour établir la présomption de fait, mais pour la renforcer. Ces griefs manquent de pertinence, dans la mesure où ils ne tendent pas à renverser la présomption établie. Le recourant n'a en outre fait entendre aucun témoin, ni produit aucune pièce qui aurait permis de se prononcer sur l'intensité du lien conjugal existant entre les époux durant la période déterminante.</w:t>
      </w:r>
    </w:p>
    <w:p>
      <w:r>
        <w:rPr>
          <w:b/>
        </w:rPr>
        <w:t>E. 2.1.5</w:t>
      </w:r>
    </w:p>
    <w:p>
      <w:r>
        <w:t>En définitive, même si certains des arguments mentionnés par l'instance précédente - ainsi le fait que l'ex-épouse ne se souvienne pas du lieu exact de leur rencontre - ne sont pas pertinents, les éléments avancés par le recourant ne suffisent pas à renverser la présomption établie. En effet, l'intéressé n'apporte aucun élément propre à démontrer la survenance d'un événement extraordinaire postérieur à la signature de la déclaration commune et susceptible d'expliquer une dégradation aussi rapide du lien conjugal, après plus de huit ans de mariage. Le prénommé ne rend pas non plus vraisemblable qu'en juillet 2005, au moment de la signature de la déclaration commune, il n'avait pas conscience de ce que la communauté conjugale n'était plus orientée vers l'avenir. Il en découle que les conditions d'application de l' art. 41 LN sont réunies et que le Tribunal administratif fédéral n'a pas abusé de son pouvoir d'appréciation et n'a pas versé dans l'arbitraire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