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1C_556/2018 vom 25. Oktober 2018</w:t>
      </w:r>
    </w:p>
    <w:p>
      <w:r>
        <w:t>Bundesgericht, 2018-10-25, DE</w:t>
      </w:r>
    </w:p>
    <w:p>
      <w:r>
        <w:rPr>
          <w:b/>
        </w:rPr>
        <w:t xml:space="preserve">Quelle: </w:t>
      </w:r>
      <w:r>
        <w:t>https://mcp.opencaselaw.ch/entscheid/bger_1C_556_2018</w:t>
      </w:r>
    </w:p>
    <w:p>
      <w:r>
        <w:t>FR: TF 1C_556/2018 du 25 octobre 2018</w:t>
      </w:r>
    </w:p>
    <w:p>
      <w:r>
        <w:t>IT: TF 1C_556/2018 del 25 ottobre 2018</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die Übermittlung von Informationen aus dem Geheimbereich und damit ein Sachgebiet, bei dem die Beschwerde nach Art. 84 Abs. 1 BGG insoweit möglich ist. Entgegen der Auffassung des Beschwerdeführers handelt es sich jedoch um keinen besonders bedeutenden Fall.</w:t>
      </w:r>
    </w:p>
    <w:p>
      <w:r>
        <w:t>Der angefochtene Entscheid stützt sich auf die bundesgerichtliche Rechtsprechung ( BGE 137 IV 134 E. 5.2.4 S. 139 mit Hinweisen), auf die zurückzukommen kein Grund besteht, und lässt keine Bundesrechtsverletzung erkennen. Auf die Erwägungen der Vorinstanz kann gemäss Art. 109 Abs. 3 BGG verwiesen werden (angefochtener Entscheid E. 2.2 S. 5 f.). Schwere Mängel des ausländischen Verfahrens können nicht angenommen werden. Bei Schweden handelt es sich um einen anerkannten Rechtsstaat. Der Beschwerdeführer kann deshalb, sofern ihm - wie er geltend macht - in Schweden eine Verletzung seiner Persönlichkeitsrechte drohen sollte, dort die zuständigen Instanzen anrufen. Gemäss Art. 13 i.V.m. Art. 8 EMRK ist Schweden verpflichtet, dem Beschwerdeführer insoweit das Recht auf eine wirksame Beschwerde zu gewähren. Rechtsfragen von grundsätzlicher Bedeutung stellen sich im vorliegenden Fall nicht. Auch sonst wie kommt diesem keine aussergewöhnliche Tragweite zu. Für das Bundesgericht besteht deshalb kein Anlass, die Sache an die Hand zu nehmen.</w:t>
      </w:r>
    </w:p>
    <w:p>
      <w:r>
        <w:t>Die Beschwerde ist demnach unzulässig.</w:t>
      </w:r>
    </w:p>
    <w:p>
      <w:r>
        <w:rPr>
          <w:b/>
        </w:rPr>
        <w:t>E. 2</w:t>
      </w:r>
    </w:p>
    <w:p>
      <w:r>
        <w:t>Bei diesem Ausgang des Verfahrens trägt der Beschwerdeführer die Gerichtskosten ( Art. 66 Abs. 1 Satz 1 BGG ).</w:t>
      </w:r>
    </w:p>
    <w:p>
      <w:r>
        <w:t>Mit dem vorliegenden Entscheid braucht über das Gesuch um aufschiebende Wirkung nicht mehr befunden zu werden. Die Beschwerde hatte im Übrigen von Gesetzes wegen aufschiebende Wirkung (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