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1C_556/2014 vom 4. Februar 2015</w:t>
      </w:r>
    </w:p>
    <w:p>
      <w:r>
        <w:t>Bundesgericht, 2015-02-04, FR</w:t>
      </w:r>
    </w:p>
    <w:p>
      <w:r>
        <w:rPr>
          <w:b/>
        </w:rPr>
        <w:t xml:space="preserve">Quelle: </w:t>
      </w:r>
      <w:r>
        <w:t>https://mcp.opencaselaw.ch/entscheid/bger_1C_556_2014</w:t>
      </w:r>
    </w:p>
    <w:p>
      <w:r>
        <w:t>FR: TF 1C_556/2014 du 4 février 2015</w:t>
      </w:r>
    </w:p>
    <w:p>
      <w:r>
        <w:t>IT: TF 1C_556/2014 del 4 febbraio 2015</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et les conditions formelles de recevabilité sont remplies, de sorte qu'il y a lieu d'entrer en matière.</w:t>
      </w:r>
    </w:p>
    <w:p>
      <w:r>
        <w:rPr>
          <w:b/>
        </w:rPr>
        <w:t>E. 2</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c'est-à-dire arbitraire ( ATF 137 I 58 consid. 4.1.2 p. 62)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t>Au début de son écriture, la recourante présente sa propre version des faits, qui s'écarte sur plusieurs points des constatations de l'instance précédente. Un tel procédé n'est pas conforme à l'obligation de motivation accrue déduite de l' art. 106 al. 2 LTF en matière de critique des faits. En particulier, la recourante se contente d'affirmer que la séparation effective des ex-époux aurait eu lieu le 1er octobre 2010, sans proposer aucune démonstration du caractère arbitraire de l'appréciation de l'instance précédente qui a expliqué de manière convaincante pour quelle raison la date de la séparation effective entre les époux devait être fixée au printemps 2009 et non pas au 1er octobre 2010 (cf. arrêt entrepris consid. 6.3.2). Il n'y a dès lors pas lieu de s'écarter des constatations retenues par l'instance précédente.</w:t>
      </w:r>
    </w:p>
    <w:p>
      <w:r>
        <w:rPr>
          <w:b/>
        </w:rPr>
        <w:t>E. 3</w:t>
      </w:r>
    </w:p>
    <w:p>
      <w:r>
        <w:t>La recourante se plaint d'une mauvaise application de l'art. 41 al. 1 de la loi fédérale sur la nationalité du 29 septembre 1952 (LN; RS 141.0). Elle reproche en substance à l'instance précédente d'avoir nié l'existence d'une communauté conjugale stable et effective lors de la signature de la déclaration de vie commune.</w:t>
      </w:r>
    </w:p>
    <w:p>
      <w:r>
        <w:rPr>
          <w:b/>
        </w:rPr>
        <w:t>E. 3.1</w:t>
      </w:r>
    </w:p>
    <w:p>
      <w:r>
        <w:t>Conformément à l' art. 41 al. 1 LN , l'ODM peut, avec l'assentiment de l'autorité du canton d'origine, annuler la naturalisation ou la réintégration obtenue par des déclarations mensongères ou la dissimulation de faits essentiels.</w:t>
      </w:r>
    </w:p>
    <w:p>
      <w:r>
        <w:rPr>
          <w:b/>
        </w:rPr>
        <w:t>E. 3.1.1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rPr>
          <w:b/>
        </w:rPr>
        <w:t>E. 3.1.2</w:t>
      </w:r>
    </w:p>
    <w:p>
      <w:r>
        <w:t>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En l'espèce, le Tribunal administratif fédéral a considéré que l'enchaînement chronologique rapide entre la déclaration commune (20 janvier 2008), l'octroi de la naturalisation facilitée (19 février 2008), la séparation du couple (fin juin 2009), la procuration signée conjointement par les époux en vue de l'introduction d'une procédure de divorce (19 janvier 2010), le dépôt de la requête commune en divorce avec convention complète (30 août 2010), le jugement de divorce (16 septembre 2010), la naissance de l'enfant de la recourante issu d'une relation avec un ressortissant suisse (4 novembre 2010), son mariage avec le père de son enfant (11 novembre 2011) fondait la présomption que les époux n'avaient plus la volonté de maintenir une communauté conjugale stable au sens de l' art. 27 LN au moment de la signature de la déclaration commune et lors de la décision de naturalisation.</w:t>
      </w:r>
    </w:p>
    <w:p>
      <w:r>
        <w:t>Ces éléments et leur chronologie, en particulier la séparation effective intervenue 16 mois après l'octroi de la naturalisation, permettent effectivement de fonder la présomption que celle-ci avait été obtenue frauduleusement (cf. arrêt 1C_796/2013 du 13 mars 2014 consid. 3.2). C'est d'ailleurs en vain que la recourante conteste ce mécanisme de présomption, qui a été maintes fois confirmé par la jurisprudence (cf. supra consid. 3.1).</w:t>
      </w:r>
    </w:p>
    <w:p>
      <w:r>
        <w:t>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3.3</w:t>
      </w:r>
    </w:p>
    <w:p>
      <w:r>
        <w:t>Pour renverser cette présomption, la recourante se prévaut de l'infidélité de son ex-époux et du souhait de ce dernier ne pas avoir d'enfant. Elle soutient en substance qu'il s'agirait d'événements extraordinaires au sens de la jurisprudence ayant causé la dégradation rapide de l'union conjugale. Les brèves explications de la recourante ne sont toutefois pas convaincantes. Celle-ci se contente en effet d'affirmer de manière appellatoire que ces éléments constitueraient la cause de la rupture. Elle ne donne aucun détail à ce sujet et ne précise en particulier pas quand elle aurait pris connaissance de cette infidélité - qu'elle ne date pas non plus - et du refus de son ex-époux concernant leur descendance. Par ailleurs, la recourante n'a pas critiqué l'appréciation de l'instance précédente qui a démontré de manière convaincante - en se fondant notamment sur les déclarations non contestées de l'ex-époux et les déclarations de celle-ci (cf. consid. 7.4.1 de l'arrêt entrepris) - que leur union n'était pas intacte et harmonieuse au moment de la procédure de naturalisation et que l'intéressée ne pouvait l'ignorer (cf. consid. 7.4.1-7.4.4 de l'arrêt entrepris); l'instance précédente relevait notamment que les difficultés conjugales - qui avaient débuté en 2006 et culminé fin 2006/début 2007 - n'avaient jamais disparu et que même si les intéressés conservaient l'espoir de pouvoir un jour repartir sur de nouvelles bases et de fonder une famille, ils menaient toujours des vies parallèles au domicile conjugal au début de l'année 2008 (au moment de la signature de la déclaration commune sur la stabilité du mariage et de la décision de naturalisation) jusqu'à ce que la recourante quitte le domicile conjugal au printemps 2009 pour "refaire sa vie" avec le père de son enfant (cf. consid. 7.4.2 de l'arrêt entrepris). En l'occurrence, le Tribunal administratif fédéral a développé une argumentation pertinente (cf. l'arrêt entrepris consid. 7.4.1-7.4.4) à laquelle il peut être renvoyé ( art. 109 al. 3 LTF ).</w:t>
      </w:r>
    </w:p>
    <w:p>
      <w:r>
        <w:t>La recourante se prévaut encore du fait que les ex-époux ont vécu ensemble de nombreuses années en Colombie, puis en Suisse avant de se marier. Il n'est pas contesté que les ex-époux se sont mariés par amour. Ces éléments ne permettent cependant pas d'établir qu'au moment de la signature de la déclaration commune l'harmonie existait toujours au sein du couple au point d'envisager la continuation de la vie commune.</w:t>
      </w:r>
    </w:p>
    <w:p>
      <w:r>
        <w:t>Enfin, la recourante invoque en vain qu'elle est mariée à un ressortissant suisse, qu'elle est parfaitement intégrée en Suisse et que son enfant est également de nationalité suisse. Ces éléments ne sont en effet pas pertinents pour déterminer si la naturalisation a été obtenue de façon frauduleuse.</w:t>
      </w:r>
    </w:p>
    <w:p>
      <w:r>
        <w:rPr>
          <w:b/>
        </w:rPr>
        <w:t>E. 3.4</w:t>
      </w:r>
    </w:p>
    <w:p>
      <w:r>
        <w:t>En définitive, les éléments avancés par la recourante ne suffisent pas à renverser la présomption établie. Il en découle que les conditions d'application de l' art. 41 LN sont réunies et que le Tribunal administratif fédéral n'a pas violé le droit fédéral en confirmant l'annulation de la naturalisation facilitée qui avait été octroyée à la recourante.</w:t>
      </w:r>
    </w:p>
    <w:p>
      <w:r>
        <w:rPr>
          <w:b/>
        </w:rPr>
        <w:t>E. 4</w:t>
      </w:r>
    </w:p>
    <w:p>
      <w:r>
        <w:t>Les considérants qui précèdent conduisent au rejet du recours dans la mesure de sa recevabilité,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