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1C_554/2022 vom 20. Oktober 2022</w:t>
      </w:r>
    </w:p>
    <w:p>
      <w:r>
        <w:t>Bundesgericht, 2022-10-20, FR</w:t>
      </w:r>
    </w:p>
    <w:p>
      <w:r>
        <w:rPr>
          <w:b/>
        </w:rPr>
        <w:t xml:space="preserve">Quelle: </w:t>
      </w:r>
      <w:r>
        <w:t>https://mcp.opencaselaw.ch/entscheid/bger_1C_554_2022</w:t>
      </w:r>
    </w:p>
    <w:p>
      <w:r>
        <w:t>FR: TF 1C_554/2022 du 20 octobre 2022</w:t>
      </w:r>
    </w:p>
    <w:p>
      <w:r>
        <w:t>IT: TF 1C_554/2022 del 20 ottobre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En vertu de l' art. 42 al. 2 LTF , il incombe à la partie recourante de démontrer que les conditions d'entrée en matière posées à l' art. 84 LTF sont réunies ( ATF 139 IV 294 consid. 1.1).</w:t>
      </w:r>
    </w:p>
    <w:p>
      <w:r>
        <w:rPr>
          <w:b/>
        </w:rPr>
        <w:t>E. 2</w:t>
      </w:r>
    </w:p>
    <w:p>
      <w:r>
        <w:t>La présente espèce porte sur la transmission de documents bancaires, soit des renseignements touchant le domaine secret au sens de l' art. 84 al. 1 LTF . Toutefois, compte tenu des faits à l'origine de la demande (des infractions dépourvues de caractère politique ou fiscal) et de la nature de la transmission envisagée (limitée à la documentation relative à sept comptes bancaires), le cas ne revêt en soi aucune importance particulière.</w:t>
      </w:r>
    </w:p>
    <w:p>
      <w:r>
        <w:rPr>
          <w:b/>
        </w:rPr>
        <w:t>E. 2.1</w:t>
      </w:r>
    </w:p>
    <w:p>
      <w:r>
        <w:t>Afin de démontrer l'importance particulière de la cause, les recourants relèvent que les détournements ont été commis au préjudice d'un fonds détenu par le gouvernement malaisien, qu'une société d'investissement mondiale est mise en cause par les procureurs américains et qu'il s'agirait de la quatrième demande d'entraide judiciaire présentée par les Etats-Unis dans ce contexte. La procédure américaine viserait la confiscation de tous les fonds, soit environ 380 millions de dollars.</w:t>
      </w:r>
    </w:p>
    <w:p>
      <w:r>
        <w:t>Aucun de ces éléments n'est propre à justifier une entrée en matière. Si la procédure américaine tend à la confiscation de sommes importantes, la procédure d'entraide judiciaire est limitée à la transmission de renseignements bancaires. L'existence d'un complexe de fait international, de plusieurs demandes d'entraide complémentaires, l'intervention d'une société d'investissement mondiale et l'implication d'un fonds détenu par un Etat étranger ne suffisent pas non plus, en l'absence notamment d'une couverture médiatique particulièrement importante ou d'incidences évidentes au niveau politique, à conférer au présent cas une importance particulière. Les recourants ne soutiennent pas que la procédure, à l'étranger ou en Suisse, comporterait des défauts graves et manifestes susceptibles de justifier l'intervention d'une seconde instance judiciaire.</w:t>
      </w:r>
    </w:p>
    <w:p>
      <w:r>
        <w:rPr>
          <w:b/>
        </w:rPr>
        <w:t>E. 2.2</w:t>
      </w:r>
    </w:p>
    <w:p>
      <w:r>
        <w:t>Pour le surplus, les griefs soulevés sur le fond (existence d'une cause pénale, respect du principe de la proportionnalité) ne sont pas présentés comme des motifs d'entrée en matière. Il n'y a donc pas lieu de les examiner sous cet angle.</w:t>
      </w:r>
    </w:p>
    <w:p>
      <w:r>
        <w:rPr>
          <w:b/>
        </w:rPr>
        <w:t>E. 3</w:t>
      </w:r>
    </w:p>
    <w:p>
      <w:r>
        <w:t>Sur le vu de ce qui précède, le recours est irrecevable.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