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554/2020 vom 7. Oktober 2020</w:t>
      </w:r>
    </w:p>
    <w:p>
      <w:r>
        <w:t>Bundesgericht, 2020-10-07, DE</w:t>
      </w:r>
    </w:p>
    <w:p>
      <w:r>
        <w:rPr>
          <w:b/>
        </w:rPr>
        <w:t xml:space="preserve">Quelle: </w:t>
      </w:r>
      <w:r>
        <w:t>https://mcp.opencaselaw.ch/entscheid/bger_1C_554_2020</w:t>
      </w:r>
    </w:p>
    <w:p>
      <w:r>
        <w:t>FR: TF 1C 554/2020 du 7 octobre 2020</w:t>
      </w:r>
    </w:p>
    <w:p>
      <w:r>
        <w:t>IT: TF 1C 554/2020 del 7 ottobre 2020</w:t>
      </w:r>
    </w:p>
    <w:p>
      <w:pPr>
        <w:pStyle w:val="Heading2"/>
      </w:pPr>
      <w:r>
        <w:t>Regeste</w:t>
      </w:r>
    </w:p>
    <w:p>
      <w:r>
        <w:t>Verkehrsanordnung Kernfahrbahn | Strassenbau und Strassenverkehr</w:t>
      </w:r>
    </w:p>
    <w:p>
      <w:pPr>
        <w:pStyle w:val="Heading2"/>
      </w:pPr>
      <w:r>
        <w:t>Erwägungen</w:t>
      </w:r>
    </w:p>
    <w:p>
      <w:r>
        <w:rPr>
          <w:b/>
        </w:rPr>
        <w:t>E. 1</w:t>
      </w:r>
    </w:p>
    <w:p>
      <w:r>
        <w:t>Der Gemeinderat Baar beschloss am 10. März 2020 die Anordnung einer Kernfahrbahn auf der U.________strasse in Baar. Die Sicherheitsdirektion des Kantons Zug genehmigte die Verkehrsanordnung am 22. April 2020. A.________ erhob am 6. April 2020 Verwaltungsgerichtsbeschwerde und stellte dabei ein Ausstandsbegehren gegen den Präsidenten des Verwaltungsgerichts des Kantons Zug. Das Verwaltungsgericht des Kantons Zug trat mit Urteil vom 31. August 2020 auf das Ausstandsbegehren und auf die Beschwerde nicht ein. Zur Begründung führte es zusammenfassend aus, das Ausstandsbegehren sei unzulässig. Die Verwaltungsgerichtsbeschwerde stehe gegen die Fahrbahnmarkierung nicht zur Verfügung. Auf die Eingabe könnte auch nicht als Einsprache eingetreten werden, weshalb sie nicht an den Gemeinderat von Baar weiterzuleiten sei. Im Übrigen sei der Beschwerdeführer von der angefochtenen Verkehrsanordnung nicht stärker als jeder Dritte betroffen, weshalb seine Beschwerdeberechtigung zu verneinen sei.</w:t>
      </w:r>
    </w:p>
    <w:p>
      <w:r>
        <w:rPr>
          <w:b/>
        </w:rPr>
        <w:t>E. 2</w:t>
      </w:r>
    </w:p>
    <w:p>
      <w:r>
        <w:t>A.________ führt mit Eingabe vom 5. Oktober 2020 Beschwerde in öffentlich-rechtlichen Angelegenheiten gegen das Urteil des Verwaltungsgerichts des Kantons Zug vom 31. August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seinen weitschweifigen und nicht sachbezogenen Ausführungen überhaupt nicht mit der Begründung des Verwaltungsgerichts auseinander, die zum Nichteintreten auf seine Beschwerde führte. Er vermag nicht verständlich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Mit dem vorliegenden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