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1C_554/2016 vom 15. Januar 2018</w:t>
      </w:r>
    </w:p>
    <w:p>
      <w:r>
        <w:t>Bundesgericht, 2018-01-15, FR</w:t>
      </w:r>
    </w:p>
    <w:p>
      <w:r>
        <w:rPr>
          <w:b/>
        </w:rPr>
        <w:t xml:space="preserve">Quelle: </w:t>
      </w:r>
      <w:r>
        <w:t>https://mcp.opencaselaw.ch/entscheid/bger_1C_554_2016</w:t>
      </w:r>
    </w:p>
    <w:p>
      <w:r>
        <w:t>FR: TF 1C_554/2016 du 15 janvier 2018</w:t>
      </w:r>
    </w:p>
    <w:p>
      <w:r>
        <w:t>IT: TF 1C_554/2016 del 15 gennaio 2018</w:t>
      </w:r>
    </w:p>
    <w:p>
      <w:pPr>
        <w:pStyle w:val="Heading2"/>
      </w:pPr>
      <w:r>
        <w:t>Erwägungen</w:t>
      </w:r>
    </w:p>
    <w:p>
      <w:r>
        <w:rPr>
          <w:b/>
        </w:rPr>
        <w:t>E. 1</w:t>
      </w:r>
    </w:p>
    <w:p>
      <w:r>
        <w:t>Les deux recours déposés par les parties relèvent pour l'essentiel du même état de fait et soulèvent les mêmes questions juridiques, auxquelles le Tribunal cantonal a d'ailleurs répondu de manière similaire aux termes de deux arrêts distincts. Il se justifie donc, pour des motifs d'économie de procédure, de joindre les causes 1C_554/2016 et 1C_555/2016 et de statuer sur celles-ci dans un seul arrêt (cf. art. 24 PCF applicable par renvoi de l' art. 71 LTF ).</w:t>
      </w:r>
    </w:p>
    <w:p>
      <w:r>
        <w:rPr>
          <w:b/>
        </w:rPr>
        <w:t>E. 2</w:t>
      </w:r>
    </w:p>
    <w:p>
      <w:r>
        <w:t>Dirigé contre deux décisions finales ( art. 90 LTF ) prises en dernière instance cantonale ( art. 86 al. 1 let . d LTF) dans le domaine du droit public de l'aménagement du territoire ( art. 82 let. a LTF ), les recours sont en principe recevables comme recours en matière de droit public selon les art. 82 ss LTF , aucune des exceptions prévues à l' art. 83 LTF n'étant réalisée. Les recourants ont pris part à la procédure de recours devant le Tribunal cantonal. Ils sont particulièrement touchés par les arrêts attaqués, qui confirment notamment la compatibilité du remaniement parcellaire envisagé dans le périmètre du syndicat d'améliorations foncières, au sein duquel se trouvent leurs parcelles, avec le droit fédéral, en particulier avec l' art. 5 LAT , ce que ceux-ci contestent. Les recourants peuvent ainsi se prévaloir d'un intérêt personnel et digne de protection à l'annulation des arrêts attaqués; ils bénéficient donc de la qualité pour recourir au sens de l' art. 89 al. 1 LTF .</w:t>
      </w:r>
    </w:p>
    <w:p>
      <w:r>
        <w:rPr>
          <w:b/>
        </w:rPr>
        <w:t>E. 3</w:t>
      </w:r>
    </w:p>
    <w:p>
      <w:r>
        <w:t>Dans une première partie de leurs écritures respectives, les recourants présentent leurs propres versions des faits, lesquelles divergent partiellement des constatations des juges cantonaux. Une telle argumentation, dans la mesure où elle s'écarte des faits établis dans les arrêts attaqués ou les complète, sans qu'il soit indiqué que ceux-ci seraient manifestement inexacts ou arbitraires, est irrecevable (cf. ATF 136 II 101 consid. 3 p. 104 s.; 135 II 313 consid. 5.2.2 p. 322).</w:t>
      </w:r>
    </w:p>
    <w:p>
      <w:r>
        <w:rPr>
          <w:b/>
        </w:rPr>
        <w:t>E. 4</w:t>
      </w:r>
    </w:p>
    <w:p>
      <w:r>
        <w:t>Se plaignant d'une violation de leur droit d'être entendus, les recourants reprochent à l'instance précédente de n'avoir pas fait droit à leur réquisition tendant à la mise en oeuvre d'une expertise "ayant pour but, d'une part, de déterminer les surfaces et les valeurs qui ont servi de référence à la Commission de classification du [syndicat d'améliorations foncières] pour arrêter la valeur des terrains et, d'autre part, de déterminer la valeur vénale des parcelles concernées sur la base des critères de l'art. 86 [LAF], ainsi que, le cas échéant, les soultes". Ils font également grief à la cour cantonale de n'avoir pas motivé son refus.</w:t>
      </w:r>
    </w:p>
    <w:p>
      <w:r>
        <w:rPr>
          <w:b/>
        </w:rPr>
        <w:t>E. 4.1</w:t>
      </w:r>
    </w:p>
    <w:p>
      <w:r>
        <w:t>Tel qu'il est garanti par l' art. 29 al. 2 Cst. , le droit d'être entendu comprend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w:t>
      </w:r>
    </w:p>
    <w:p>
      <w:r>
        <w:t>La jurisprudence déduit par ailleurs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(cf. ATF 138 IV 81 consid. 2.2 p. 84; 134 I 83 consid. 4.1 p. 88 et les références). La motivation peut également être implicite et résulter des différents considérants de la décision ( ATF 141 V 557 consid. 3.2.1 p. 564 s. et les arrêts cités).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références).</w:t>
      </w:r>
    </w:p>
    <w:p>
      <w:r>
        <w:t>Les griefs de violation des droits fondamentaux sont soumis à des exigences de motivation accrues ( art. 106 al. 2 LTF ). La partie recourante doit alors indiquer les principes constitutionnels qui n'auraient pas été respectés et expliquer de manière claire et précise en quoi ces principes auraient été violés (cf. arrêt 1C_95/2017 du 24 mai 2017 consid. 2 non publié in ATF 143 II 495 ; 136 II 489 consid. 2.8 p. 494; 133 IV 286 consid. 1.4 p. 287).</w:t>
      </w:r>
    </w:p>
    <w:p>
      <w:r>
        <w:rPr>
          <w:b/>
        </w:rPr>
        <w:t>E. 4.2</w:t>
      </w:r>
    </w:p>
    <w:p>
      <w:r>
        <w:t>L'instance précédente n'a certes pas formellement écarté la réquisition des recourants tendant à la mise en oeuvre d'une expertise. Cela étant, contrairement à ce que soutiennent ces derniers, il apparaît clairement, à la lecture de l'arrêt attaqué, que la cour cantonale a retenu les différents critères d'évaluation mis en évidence dans le rapport technique du 12 novembre 2012 versé au dossier d'enquête ainsi que sur les tableaux comparatifs ancien/nouvel état; le Tribunal cantonal a d'ailleurs reproduit fidèlement ces différents éléments dans l'arrêt attaqué. Devant le Tribunal fédéral, les recourants ne les discutent toutefois pas ni</w:t>
      </w:r>
    </w:p>
    <w:p>
      <w:r>
        <w:t>a fortiori ne démontrent - pour justifier la nécessité de leur réquisition de preuve - que ceux-ci seraient erronés. Ils n'ont d'ailleurs pas non plus entrepris cette démonstration devant la cour cantonale: l'arrêt attaqué constate - sans que cela ne soit aujourd'hui démenti - que les recourants ne contestaient pas concrètement, au stade du recours cantonal, les termes de l'échange résultant pour eux du nouvel état, lequel correspond, selon les considérants de l'arrêt querellé, presque exactement aux trois parcelles de leur ancien état. Dans ces conditions, on ne discerne pas, à la lecture du grief, d'indices permettant de douter de la fiabilité des critères d'évaluation et des mesures de surface figurant dans la décision du 20 novembre 2014 de la CCL, reprise par le Tribunal cantonal.</w:t>
      </w:r>
    </w:p>
    <w:p>
      <w:r>
        <w:t>L'instance précédente a par ailleurs expliqué, se référant à cet égard à la jurisprudence cantonale, que les valeurs d'échanges déterminées dans le cadre d'un remaniement parcellaire avec péréquation réelle étaient souvent inférieures et n'avaient pas à correspondre à la valeur vénale, l'essentiel étant seulement qu'elles soient harmonisées entre elles (cf. arrêt attaqué, consid. 3 et les références citées). Là encore, les recourants ne discutent pas l'appréciation de la cour cantonale; ils ne prétendent en particulier pas, au mépris des exigences de l' art. 106 al. 2 LTF (cf. ATF 137 V 143 consid. 1.2 p. 145; arrêt 1C_38/2016 du 13 mai 2016 consid. 2.1), que le droit cantonal imposerait, dans le cadre d'un syndicat d'améliorations foncières, la détermination de la valeur vénale des parcelles touchées et que l'arrêt attaqué serait sur ce point - relevant de l'application du droit cantonal - arbitraire; l'art. 86 LAF, fixant les critères d'estimation des immeubles, ne mentionne d'ailleurs pas la valeur vénale, comme le relève utilement la CCL. Dans ces circonstances, la valeur vénale apparaît sans influence sur le sort du litige et n'avait, par voie de conséquence, pas à être établie.</w:t>
      </w:r>
    </w:p>
    <w:p>
      <w:r>
        <w:rPr>
          <w:b/>
        </w:rPr>
        <w:t>E. 4.3</w:t>
      </w:r>
    </w:p>
    <w:p>
      <w:r>
        <w:t>En définitive, le refus - implicite - de faire droit à la requête d'expertise ne consacre pas une violation du droit d'être entendus des recourants.</w:t>
      </w:r>
    </w:p>
    <w:p>
      <w:r>
        <w:rPr>
          <w:b/>
        </w:rPr>
        <w:t>E. 5</w:t>
      </w:r>
    </w:p>
    <w:p>
      <w:r>
        <w:t>Dans le même ordre d'idée, C.________ affirme avoir sollicité, devant l'instance précédente, au pied de son mémoire ampliatif du 25 août 2016, la production d'une pièce, réquisition dont la cour cantonale n'aurait ni motivé ni</w:t>
      </w:r>
    </w:p>
    <w:p>
      <w:r>
        <w:t>a fortiori justifié le refus. Devant le Tribunal fédéral, le recourant prénommé n'explique toutefois pas de quelle pièce il s'agit ni n'explique en quoi celle-ci pourrait influencer l'issue du litige, se bornant à alléguer que ce document mettrait en évidence une nouvelle violation du principe de coordination, voire une grave inégalité de traitement; cela est toutefois insuffisant au regard des exigences de motivation du recours fédéral ( art. 42 al. 2 LTF ). Le grief se révèle manifestement irrecevable.</w:t>
      </w:r>
    </w:p>
    <w:p>
      <w:r>
        <w:rPr>
          <w:b/>
        </w:rPr>
        <w:t>E. 6</w:t>
      </w:r>
    </w:p>
    <w:p>
      <w:r>
        <w:t>Toujours sous l'angle du droit à une décision motivée, les recourants critiquent la cour cantonale pour n'avoir pas traité certains de leurs griefs (violation de la garantie de la propriété; art. 26 Cst. ) ou alors trop succinctement ("violation arbitraire" de l'égalité de traitement; art. 8 et 9 Cst. , au regard de l'art. 87 LAF).</w:t>
      </w:r>
    </w:p>
    <w:p>
      <w:r>
        <w:rPr>
          <w:b/>
        </w:rPr>
        <w:t>E. 6.1</w:t>
      </w:r>
    </w:p>
    <w:p>
      <w:r>
        <w:t>Les recourants ne fournissant aucune explication particulière s'agissant du traitement prétendument succinct réservé à leur grief de violation de l'égalité de traitement, on peut douter de la recevabilité de leur critique au regard des exigences de motivation accrue de l' art. 106 al. 2 LTF . Quoiqu'il en soit, la cour cantonale a expliqué que le moyen tiré d'une inégalité de traitement déduite par les recourants de la différence entre le régime instauré pour leur parcelle (no 2719 [NE]) et celui de la parcelle no 2718 (NE), appartenant à SI D.________ SA, relevait non pas du remaniement parcellaire, mais du plan de quartier Montenailles. Le Tribunal cantonal a dès lors et pour le surplus renvoyé à son arrêt du même jour portant sur l'adoption de ce plan, arrêt traitant en détail de cette question; il convient de relever que le recours fédéral dirigé contre ce dernier arrêt cantonal ne contient toutefois aucune critique spécifique à ce sujet (cf. arrêt parallèle 1C_552/2016 rendu ce jour). Aussi, les explications de la cour cantonale apparaissent-elles en définitive suffisantes au regard des garanties de l' art. 29 al. 2 Cst. (cf. consid. 4.1 ci-dessus).</w:t>
      </w:r>
    </w:p>
    <w:p>
      <w:r>
        <w:rPr>
          <w:b/>
        </w:rPr>
        <w:t>E. 6.2</w:t>
      </w:r>
    </w:p>
    <w:p>
      <w:r>
        <w:t>C'est également en vain que les recourants se plaignent d'un déni de justice formel s'agissant du grief déduit de la violation de la garantie de la propriété soulevé devant l'instance précédente ( art. 26 Cst. ). En effet, à l'examen du recours cantonal du 5 janvier 2015, il apparaît que les recourants se sont essentiellement limités à des considérations d'ordre général relatives, d'une part, à l'impact de la procédure de remaniement sur la Commune du Mont-sur-Lausanne et sur eux-mêmes (recours, p. 17 ch. 6 s.); d'autre part, ils se sont prévalus d'hypothétiques effets collatéraux, sans toutefois en définir la nature (recours, p. 17 ch. 8). Pour le surplus, leur grief, tel que formulé, se confond avec d'autres critiques également soulevées devant l'instance précédente en lien avec le principe de l'égalité de traitement (recours, p. 17 ch. 9), que celle-ci a cependant traité dans le respect des exigences de l' art. 29 al. 2 Cst. (cf. consid. 6.1 ci-dessus). Il s'ensuit que le grief de violation de la garantie de la propriété n'appelait pas de réponse spécifique du Tribunal cantonal.</w:t>
      </w:r>
    </w:p>
    <w:p>
      <w:r>
        <w:rPr>
          <w:b/>
        </w:rPr>
        <w:t>E. 6.3</w:t>
      </w:r>
    </w:p>
    <w:p>
      <w:r>
        <w:t>Mal fondé, le grief doit être écarté pour autant que recevable.</w:t>
      </w:r>
    </w:p>
    <w:p>
      <w:r>
        <w:rPr>
          <w:b/>
        </w:rPr>
        <w:t>E. 7</w:t>
      </w:r>
    </w:p>
    <w:p>
      <w:r>
        <w:t>Faisant valoir une violation de leur droit d'être entendus, les recourants soutiennent que l'absence de dispositif dans la décision de la CCL heurterait les garanties de l' art. 29 al. 2 Cst. Faute d'explications complémentaires, leur critique ne peut toutefois être comprise que comme la dénonciation d'une violation de l' art. 42 let . d de la loi sur la procédure administrative du 28 octobre 2008 (LPA-VD; RS/VD 173.36). Cette disposition prévoit, en substance, que toute décision doit comporter, en termes clairs et précis, un dispositif.</w:t>
      </w:r>
    </w:p>
    <w:p>
      <w:r>
        <w:rPr>
          <w:b/>
        </w:rPr>
        <w:t>E. 7.1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7.2</w:t>
      </w:r>
    </w:p>
    <w:p>
      <w:r>
        <w:t>Il est vrai que le Tribunal cantonal, constatant l'absence de dispositif, a estimé la critique fondée sur ce point; il a toutefois considéré que les recourants avaient, malgré tout et avec raison, interprété la décision de la CCL en ce sens que celle-ci levait leur opposition et maintenait tels quels les objets mis à l'enquête publique, écartant ainsi implicitement le grief.</w:t>
      </w:r>
    </w:p>
    <w:p>
      <w:r>
        <w:t>Devant le Tribunal fédéral, les recourants soutiennent, sans toutefois se prévaloir d'arbitraire, que le Tribunal cantonal ne pouvait - comme il l'a fait - constater le vice formel et lui appliquer la "théorie de la guérison", son pouvoir d'examen étant plus restreint que celui de la CCL, étendu à l'opportunité (cf. art. 98 LPA -VD). Les recourants ne peuvent être suivis puisque l'absence de dispositif, respectivement la "guérison" de ce vice formel, n'emporte en l'occurrence aucune conséquence sur les aspects matériels de la décision de la CCL, seuls dépendants du pouvoir d'appréciation de cette autorité. Les recourants ne soutiennent de surcroît pas que cette informalité aurait nui à leur compréhension de la décision.</w:t>
      </w:r>
    </w:p>
    <w:p>
      <w:r>
        <w:t>Dans ces conditions, la solution entérinée par la cour cantonale échappe à la critique, plus particulièrement au grief d'arbitraire, pour autant que celui-ci soit en l'espèce suffisamment motivé. Le grief doit par conséquent être rejeté dans la mesure de sa recevabilité.</w:t>
      </w:r>
    </w:p>
    <w:p>
      <w:r>
        <w:rPr>
          <w:b/>
        </w:rPr>
        <w:t>E. 8</w:t>
      </w:r>
    </w:p>
    <w:p>
      <w:r>
        <w:t>Tout comme dans le cadre de la procédure relative à l'adoption du plan de quartier de Montenailles, les recourants se plaignent d'une violation du principe de la coordination ancré à l' art. 25a LAT ; il en découlerait, à les suivre, également "une application arbitraire des règles d'estimations des immeubles et des règles relatives à la modification des documents d'enquête".</w:t>
      </w:r>
    </w:p>
    <w:p>
      <w:r>
        <w:rPr>
          <w:b/>
        </w:rPr>
        <w:t>E. 8.1</w:t>
      </w:r>
    </w:p>
    <w:p>
      <w:r>
        <w:t>Dans le cadre de la présente procédure, ils n'élèvent cependant aucune critique particulière s'agissant, à proprement parler, de la violation du principe de la coordination, renvoyant pour l'essentiel à leurs écritures cantonales. Une telle manière de procéder est contraire aux exigences de motivation du recours fédéral ( art. 42 al. 2 LTF ), les recourants ne pouvant se contenter de reproduire mot pour mot l'argumentation formée devant l'autorité cantonale (cf. ATF 140 III 86 consid. 2 p. 89; 134 II 244 consid. 2.1 et 2.3 p. 245 ss; arrêt 1C_188/2016 du 20 octobre 2016 consid. 3.1),</w:t>
      </w:r>
    </w:p>
    <w:p>
      <w:r>
        <w:t>a fortiori se limiter à renvoyer aux actes déposés devant celle-ci; le grief doit partant, sous cet angle déjà, être déclaré irrecevable. Ne répondent pas non plus aux exigences de motivation les considérations d'ordre général relatives aux correctifs apportés par la CCL à la mesure des surfaces de certaines parcelles, ou encore celles liées à l'existence d'hypothétiques autres erreurs, qui auraient pu échapper aux autorités. Les recourants soutiennent encore que ces dernières corrections ne pouvaient intervenir - comme ce fut le cas en l'espèce - en cours de procédure; cela contreviendrait, selon eux, à l'art. 6 du règlement d'application de la LAF du 13 janvier 1988 (RLAF; RS/VD 913.11.1). Cette problématique ne ressort toutefois pas des arrêts attaqués. Par conséquent, dans la mesure où les recourants ne prétendent pas que cette question aurait été fautivement ignorée par le Tribunal cantonal (cf. art. 29 al. 2 Cst. ) et qu'il s'agit d'une critique portant sur l'application du droit cantonal, cet aspect du grief, soulevé à ce stade de la procédure, est également irrecevable (cf. arrêt 1C_346/2017 du 28 septembre 2017 consid. 4.3.1; voir également FRANÇOIS CHAIX, Les motifs du recours en matière de droit public, in Dix ans de la Loi sur le Tribunal fédéral, 2017, n. 81 ss p. 222).</w:t>
      </w:r>
    </w:p>
    <w:p>
      <w:r>
        <w:rPr>
          <w:b/>
        </w:rPr>
        <w:t>E. 8.2</w:t>
      </w:r>
    </w:p>
    <w:p>
      <w:r>
        <w:t>Il s'ensuit que le grief doit, dans son ensemble, être déclaré irrecevable.</w:t>
      </w:r>
    </w:p>
    <w:p>
      <w:r>
        <w:rPr>
          <w:b/>
        </w:rPr>
        <w:t>E. 9</w:t>
      </w:r>
    </w:p>
    <w:p>
      <w:r>
        <w:t>Selon les recourants, le système de remaniement parcellaire à péréquation réelle ne serait plus conforme au droit fédéral depuis l'entrée en vigueur, le 1er mai 2014, de la novelle du 15 juin 2012, en particulier avec l' art. 5 al. 1 et al. 1bis LAT .</w:t>
      </w:r>
    </w:p>
    <w:p>
      <w:r>
        <w:rPr>
          <w:b/>
        </w:rPr>
        <w:t>E. 9.1</w:t>
      </w:r>
    </w:p>
    <w:p>
      <w:r>
        <w:t>L' art. 5 al. 1 LAT donne mandat aux cantons d'établir un régime de compensation permettant de tenir compte équitablement des avantages et des inconvénients majeurs qui résultent de mesures d'aménagement du territoire. L' art. 5 al. 1bis LAT , entré en vigueur le 1er mai 2014, dispose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Enfin, selon l'alinéa 1sexies, en cas d'impôt sur les gains immobiliers, la taxe perçue est déduite du gain en tant que partie des impenses.</w:t>
      </w:r>
    </w:p>
    <w:p>
      <w:r>
        <w:rPr>
          <w:b/>
        </w:rPr>
        <w:t>E. 9.2</w:t>
      </w:r>
    </w:p>
    <w:p>
      <w:r>
        <w:t>Sous l'ancien droit, dans une affaire jugée le 28 juin 1996, concernant également le remaniement parcellaire de la Commune du Mont-sur-Lausanne, le Tribunal fédéral a rappelé que la péréquation réelle est prévue par les art. 51 al. 3 et 53 al. 2 LATC. Il s'agit essentiellement d'une redistribution des terres liée à la délimitation ou à l'extension de la zone à bâtir, destinée à réaliser l'égalité de traitement des propriétaires; elle a notamment pour but de permettre à chacun d'eux d'obtenir une parcelle constructible même si, à l'origine, il ne possède que du terrain agricole. Selon les dispositions précitées, les communes ont la faculté de prévoir la péréquation réelle dans un périmètre déterminé, lors de l'établissement du plan d'affectation; celle-ci doit alors être exécutée préalablement à l'approbation cantonale et à l'entrée en vigueur de ce plan; elle peut notamment être réalisée au moyen d'un remaniement parcellaire.</w:t>
      </w:r>
    </w:p>
    <w:p>
      <w:r>
        <w:t>Dans ce cas, les art. 98b à 98d LAF sont applicables. Les terres à l'ancien état sont estimées selon la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(art. 98c et 86 LAF). Chaque propriétaire reçoit des parcelles en zone à bâtir et en zone agricole en proportion de la valeur de l'ancien état de propriété; les différences sont compensées par une soulte en argent dans la mesure où cette proportion ne peut pas être respectée (art. 98d et 87 al. 1 LAF).</w:t>
      </w:r>
    </w:p>
    <w:p>
      <w:r>
        <w:t>La double estimation des terres est un élément fondamental de la péréquation réelle: elle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du droit vaudois se distingue ainsi du remaniement commutatif classique (</w:t>
      </w:r>
    </w:p>
    <w:p>
      <w:r>
        <w:t>"Entflechtungsumlegung" ) qui permet simplement, sur la base d'une estimation unique à la valeur de l'affectation nouvelle du sol, l'échange de prétentions entre la zone agricole et la zone à bâtir.</w:t>
      </w:r>
    </w:p>
    <w:p>
      <w:r>
        <w:t>Le remaniement à péréquation réelle aboutit à une compensation, entre les propriétaires, des avantages et des inconvénients résultant de l'établissement du plan d'affectation. Il constitue dès lors un exemple des institutions que les cantons peuvent adopter afin de réaliser le mandat à eux confié par l' art. 5 al. 1 LAT , alors même que le législateur fédéral envisageait surtout des mesures fiscales de prélèvement et, éventuellement, de redistribution de la plus-value créée par des mesures d'aménagement ( ATF 122 I 120 consid. 3 p. 124 s. et les références citées).</w:t>
      </w:r>
    </w:p>
    <w:p>
      <w:r>
        <w:rPr>
          <w:b/>
        </w:rPr>
        <w:t>E. 9.3</w:t>
      </w:r>
    </w:p>
    <w:p>
      <w:r>
        <w:t>Rejetant les critiques des recourants, l'instance précédente a nié que la perception de la taxe sur la plus-value, désormais prévue par l'art. 5 al. 1</w:t>
      </w:r>
    </w:p>
    <w:p>
      <w:r>
        <w:t>bis LAT, exclue la possibilité de prévoir un système de remaniement parcellaire avec péréquation réelle, tel que celui adopté par le législateur vaudois. Elle a en substance considéré que cet instrument d'améliorations foncières est pleinement conforme à l' art. 5 LAT , précisant cependant qu'en cas de passage en zone à bâtir, il était nécessaire, pour respecter le droit fédéral, de prévoir un prélèvement supplémentaire de 20% de la plus-value liée à ce classement.</w:t>
      </w:r>
    </w:p>
    <w:p>
      <w:r>
        <w:rPr>
          <w:b/>
        </w:rPr>
        <w:t>E. 9.4</w:t>
      </w:r>
    </w:p>
    <w:p>
      <w:r>
        <w:t>Les recourants contestent cette appréciation. Ils soutiennent, se fondant sur une interprétation littérale, et se référant, sans autre forme de précision, aux travaux parlementaires, qu'en prévoyant que "les avantages résultant de mesures d'aménagement sont compensés par une taxe d'au moins 20%", l' art. 5 al. 1bis LAT interdirait que le régime de compensation puisse être mis en oeuvre par d'autres institutions compensatoires.</w:t>
      </w:r>
    </w:p>
    <w:p>
      <w:r>
        <w:rPr>
          <w:b/>
        </w:rPr>
        <w:t>E. 9.5</w:t>
      </w:r>
    </w:p>
    <w:p>
      <w:r>
        <w:t>Il n'est pas contesté que le texte légal autorise les cantons à percevoir une taxe sur la plus-value supérieure à 20% (cf. HEINZ AEMISEGGER, Der Mehrwertausgleich gemäss art. 5 Abs. 1 - Abs. 1</w:t>
      </w:r>
    </w:p>
    <w:p>
      <w:r>
        <w:t>sexies RPG, in PJA 2016, p. 634; ETIENNE POLTIER, Commentaire pratique LAT: Planifier l'affectation, 2016, n. 78 ad art. 5 LAT ), les garanties constitutionnelles liées notamment à l'interdiction d'une imposition confiscatoire demeurant naturellement réservées (sur cette notion, cf. XAVIER OBERSON, Droit fiscal suisse, 4</w:t>
      </w:r>
    </w:p>
    <w:p>
      <w:r>
        <w:t>e éd., 2012, § 3 n. 43 ss; cf. consid. 4.6 ci-après). Il est également constant que la perception d'une taxe d'au moins 20% s'impose impérativement aux cantons. On ne saurait cependant suivre la recourante lorsqu'elle soutient que l'art. 5 al. 1</w:t>
      </w:r>
    </w:p>
    <w:p>
      <w:r>
        <w:t>bis LAT exclurait la mise en oeuvre de mesures compensatoires différentes du seul prélèvement d'une taxe, une fois respecté le seuil de 20% imposé par le droit fédéral.</w:t>
      </w:r>
    </w:p>
    <w:p>
      <w:r>
        <w:rPr>
          <w:b/>
        </w:rPr>
        <w:t>E. 9.5.1</w:t>
      </w:r>
    </w:p>
    <w:p>
      <w:r>
        <w:t>Outre que le texte légal ne permet en soi pas d'aboutir à une telle conclusion, il ne ressort pas non plus des travaux parlementaires que le législateur entendait, à l'occasion de cette révision, revenir sur la jurisprudence rendue sous l'ancien droit (cf. ATF 122 I 120 consid. 3 p. 124 s.) autorisant la mise en oeuvre du mandat prévu à l'alinéa premier par le biais d'autres institutions que les seules mesures fiscales. L'introduction, sur le plan fédéral, par l'adoption de l'art. 5 al. 1</w:t>
      </w:r>
    </w:p>
    <w:p>
      <w:r>
        <w:t>bis à 1</w:t>
      </w:r>
    </w:p>
    <w:p>
      <w:r>
        <w:t>sexies LAT, d'un régime contraignant minimal de compensation s'est en effet imposé en raison de l'absence de concrétisation par une majorité des cantons du mandat à eux confié par l' art. 5 al. 1 LAT (cf. HEINZ AEMISEGGER, op. cit., p. 634; ETIENNE POLTIER, Le nouveau régime des contributions de plus-value de l' art. 5 LAT révisé. Une modeste avancée vers une répartition équitable des plus-values foncières ? in: ZUFFEREY/WALDMANN [éd.] Révision 2014 de la LAT: faire du neuf avec du vieux ?, 2015, p. 258). Quant au choix de ne conserver, à l'issue des débats parlementaires, qu'une taxe sur la plus-value pour concrétiser ce régime - que le législateur envisageait au demeurant déjà lors de l'adoption de l' art. 5 al. 1 LAT (cf. ATF 122 I 120 consid. 3 p. 125 et les références) -, celui-ci repose sur des motifs liés au caractère réalisable, sur le plan pratique, d'une telle mesure. En effet, au cours des débats devant le Conseil national, le texte du nouvel art. 5 al.1</w:t>
      </w:r>
    </w:p>
    <w:p>
      <w:r>
        <w:t>bis LAT, alors débattu, prévoyait que le droit cantonal devait, dans tous les cas, non seulement prévoir une taxation de la plus-value, mais également "l'obligation de compenser les surfaces, par laquelle une surface correspondant au terrain nouvellement classé en zone à bâtir est nouvellement classée en zone agricole[;]sont déterminants dans ce cas les art. 15b à 15d" (BO 2011 N 1583). Certains parlementaires - cités par la recourante - ont toutefois estimé qu'imposer ainsi une compensation réelle (</w:t>
      </w:r>
    </w:p>
    <w:p>
      <w:r>
        <w:t>"Flächenausgleich" ), paraissait irréalisable (Werner Messmer, BO 2011 N 1584; Christian Wasserfallen, BO 2011 N 1584); cela apparaît d'autant plus vrai lorsqu'une telle mesure est imposée à l'échelle du canton, tel que le prévoyait le projet d' art. 15b LAT discuté au Conseil national (cf. BO 2011 N 195).</w:t>
      </w:r>
    </w:p>
    <w:p>
      <w:r>
        <w:rPr>
          <w:b/>
        </w:rPr>
        <w:t>E. 9.5.2</w:t>
      </w:r>
    </w:p>
    <w:p>
      <w:r>
        <w:t>Cela étant, l'on ne peut déduire des interventions qui précèdent qu'une mesure de péréquation réelle, voire d'autres institutions compensatoires différentes du prélèvement d'une taxe, seraient désormais et nécessairement contraires au droit fédéral (à titre d'exemple, cf. CORINA BERGER, Die Mehrwertgabe - Grundzüge der bernischen Umsetzung und Schnittstellen zu anderen Abgabeinstrumenten, in DC 6/2017, p. 351). Les difficultés pratiques de la mise en oeuvre d'une telle institution, identifiées lors des débats parlementaires, doivent en effet être mises en lien avec la nature contraignante de la compensation réelle, dont le projet imposait l'exécution dans tous les cas, sans marge d'appréciation. La possibilité d'envisager d'autre mesures compensatoires fait du reste précisément écho à cette marge d'appréciation dont doivent pouvoir bénéficier les autorités chargées de l'aménagement du territoire dans l'accomplissement de leur tâche (cf. art. 2 al. 3 LAT ). Or, limiter le régime de la compensation des avantages majeurs au seul prélèvement d'une taxe sur la plus-value compromettrait, dans une large mesure, la réalisation du mandat général de l' art. 5 al. 1 LAT confié aux cantons, en interdisant à ceux-ci d'adopter un régime compensatoire adapté aux circonstances locales, ce que commande pourtant cette disposition (cf. HEINZ AEMISEGGER, op. cit., p. 635; en faveur de la coexistence entre la taxe prévue à l'art. 5 al. 1</w:t>
      </w:r>
    </w:p>
    <w:p>
      <w:r>
        <w:t>bis LAT et des régimes différents fondés sur l' art. 5 al. 1 LAT , en particulier le syndicat d'améliorations foncières à péréquation réelle, cf. ETIENNE POLTIER, Commentaire pratique LAT: planifier l'affectation, 2016, n. 79 et 124 ad art. 5 LAT ).</w:t>
      </w:r>
    </w:p>
    <w:p>
      <w:r>
        <w:rPr>
          <w:b/>
        </w:rPr>
        <w:t>E. 9.5.3</w:t>
      </w:r>
    </w:p>
    <w:p>
      <w:r>
        <w:t>En outre, le système vaudois de syndicat d'améliorations foncières à péréquation réelle relève d'une mesure de remaniement parcellaire s'inscrivant dans le cadre de l' art. 20 LAT (cf. ELOI JEANNERAT, Commentaire pratique LAT: planifier l'affectation, 2016, n. 8 et 32 ad art. 20 LAT ). Or, cette disposition, inchangée lors de la révision, ne prévoit aucune interdiction de procéder à un remaniement par le biais d'une péréquation réelle (</w:t>
      </w:r>
    </w:p>
    <w:p>
      <w:r>
        <w:t>ibidem ); ce système poursuit d'ailleurs, ce que la recourante ne nie pas, un objectif de compensation réelle et d'égalité (cf. arrêt 122 I 120 consid. 3 p. 124), qui constituent les principes que tout remembrement doit respecter (</w:t>
      </w:r>
    </w:p>
    <w:p>
      <w:r>
        <w:t>ibid., n. 39 ss ad art. 20 LAT ). Que la novelle du 15 juin 2012 exige désormais impérativement la perception d'une taxe à la plus-value n'apparaît pas de nature à exclure la mise en oeuvre d'un remembrement conforme à l' art. 20 LAT , ce d'autant moins que la notion même de remembrement implique par définition une compensation, souvent qualifiée de réelle (cf. ETIENNE POLTIER, Commentaire pratique LAT, 2016, n. 79 ad art. 5 LAT ). En outre, avec l'ARE, force est de constater que la révision de la LAT, en particulier l'introduction de l' art. 15a al. 1 LAT , vise à encourager ce type de démarches dans le but de garantir la disponibilité des terrains constructibles (cf. Message du Conseil fédéral du 20 janvier 2010 relatif à une révision partielle de la LAT, FF 2010 959 ch. 2.5 p. 984; dans ce sens également JACQUES DUBEY, La garantie de la disponibilité du terrain à bâtir, in: ZUFFEREY/WALDMANN [éd.], Révision 2014 de la LAT. Faire du neuf avec du vieux ?, 2015, p. 198; ETIENNE POLTIER, Commentaire pratique LAT, 2016, n. 124 ad art. 5 LAT ).</w:t>
      </w:r>
    </w:p>
    <w:p>
      <w:r>
        <w:rPr>
          <w:b/>
        </w:rPr>
        <w:t>E. 9.6</w:t>
      </w:r>
    </w:p>
    <w:p>
      <w:r>
        <w:t>Enfin et bien que les recourants ne s'en prévalent pas expressément, il convient de préciser que le cumul entre la taxe à plus-value imposée par le droit fédéral et le remaniement parcellaire avec péréquation réelle menée, comme en l'espèce, sous l'égide d'un syndicat d'améliorations foncières n'entraîne, sur le principe, pas nécessairement une taxation confiscatoire ou une inégalité de traitement au sens de l' art. 8 Cst. , ce que le Tribunal fédéral a confirmé ce jour dans l'affaire 1C_549/2016 consid. 4.6 également relative au syndicat d'améliorations foncières du Mont-sur-Lausanne.</w:t>
      </w:r>
    </w:p>
    <w:p>
      <w:r>
        <w:rPr>
          <w:b/>
        </w:rPr>
        <w:t>E. 9.7</w:t>
      </w:r>
    </w:p>
    <w:p>
      <w:r>
        <w:t>Sur le vu de ce qui précède, le système de syndicat d'améliorations foncières avec péréquation réelle demeure, sur le principe, conforme au droit fédéral indépendamment de l'entrée en vigueur de la novelle du 15 juin 2012. Mal fondé, le grief doit être écarté.</w:t>
      </w:r>
    </w:p>
    <w:p>
      <w:r>
        <w:rPr>
          <w:b/>
        </w:rPr>
        <w:t>E. 10</w:t>
      </w:r>
    </w:p>
    <w:p>
      <w:r>
        <w:t>Les considérants qui précèdent conduisent au rejet des recours, dans la mesure de leur recevabilité, aux frais des recourants, qui succombent ( art. 65 et 66 al. 1 LTF ); ceux-ci seront néanmoins réduits dans la mesure où certains griefs se recoupent avec ceux développés dans les affaires parallèles 1C_549/2016 et 1C_551/2016.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