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1C_554/2013 vom 17. September 2013</w:t>
      </w:r>
    </w:p>
    <w:p>
      <w:r>
        <w:t>Bundesgericht, 2013-09-17, FR</w:t>
      </w:r>
    </w:p>
    <w:p>
      <w:r>
        <w:rPr>
          <w:b/>
        </w:rPr>
        <w:t xml:space="preserve">Quelle: </w:t>
      </w:r>
      <w:r>
        <w:t>https://mcp.opencaselaw.ch/entscheid/bger_1C_554_2013</w:t>
      </w:r>
    </w:p>
    <w:p>
      <w:r>
        <w:t>FR: TF 1C_554/2013 du 17 septembre 2013</w:t>
      </w:r>
    </w:p>
    <w:p>
      <w:r>
        <w:t>IT: TF 1C_554/2013 del 17 settembre 2013</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ne conteste pas les faits qui lui sont reprochés. Il s'en prend à leur qualification juridique et estime qu'en raison de son attention vouée au trafic, de l'absence d'accident et de mise en danger concrète, des bonnes conditions de circulation, de l'excellent état de fonctionnement de son véhicule, ainsi que de la distance de moins de 500 mètres sur laquelle il aurait commis l'infraction, celle-ci ne saurait être qualifiée de grave. La cour cantonale aurait donc violé son pouvoir d'appréciation et fait preuve d'arbitraire en confirmant la décision du département, notamment en fondant son raisonnement sur des arrêts rendus dans des causes pénales.</w:t>
      </w:r>
    </w:p>
    <w:p>
      <w:r>
        <w:rPr>
          <w:b/>
        </w:rPr>
        <w:t>E. 2.1</w:t>
      </w:r>
    </w:p>
    <w:p>
      <w:r>
        <w:t>La loi fédérale sur la circulation routière du 19 décembre 1958 (LCR; RS 741.01) distingue les infractions légères, moyennement graves et graves (art. 16a à c LCR). Commet une infraction grave selon l' art. 16c al. 1 let. a LCR , la personne qui, en violant gravement les règles de la circulation, met sérieusement en danger la sécurité d'autrui ou en prend le risque. Conformément à l' art. 16c al. 2 let . c LCR, le permis d'élève conducteur ou le permis de conduire est retiré pour douze mois au minimum si, au cours des cinq années précédentes, le permis a été retiré une fois en raison d'une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rPr>
          <w:b/>
        </w:rPr>
        <w:t>E. 2.2</w:t>
      </w:r>
    </w:p>
    <w:p>
      <w:r>
        <w:t>Selon l' art. 34 al. 4 LCR ,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w:t>
      </w:r>
    </w:p>
    <w:p>
      <w:r>
        <w:t>Il n'existe pas de règle absolue sur ce qu'il faut entendre par "distance suffisante"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 ATF 131 IV 133 consid. 3.1 p. 135; 104 IV 192 consid. 2b p. 194). Un cas peut être grave lorsque l'intervalle entre les véhicules est inférieur à 0.8, voire 0.6 seconde ( ATF 131 IV 133 consid. 3.2.2 p. 137).</w:t>
      </w:r>
    </w:p>
    <w:p>
      <w:r>
        <w:t>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ou encore lorsqu'il a circulé à une vitesse de 125 km/h, à nouveau sur 1'200 mètres, à une distance de 15 mètres du véhicule qui le précédait (0.4 seconde [arrêt 1C_446/2011 du 15 mars 2012]). En revanche, la faute a été qualifiée de moyennement grave au sens de l' 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w:t>
      </w:r>
    </w:p>
    <w:p>
      <w:r>
        <w:rPr>
          <w:b/>
        </w:rPr>
        <w:t>E. 2.3</w:t>
      </w:r>
    </w:p>
    <w:p>
      <w:r>
        <w:t>Il y a tout d'abord lieu de rappeler que si les faits retenus dans la procédure pénale lient en principe les autorités administratives ( ATF 139 II 95 consid. 3.2 p. 101 s. et les arrêts cités), il en va différemment des questions de droit, en particulier de l'appréciation de la faute et de la mise en danger (arrêts 1C_548/2012 du 6 août 2013 consid. 2.1; 1C_353/2011 du 12 janvier 2010 consid. 2.1 et les références). Cependant et contrairement à ce que voudrait croire le recourant, cela n'exclut pas de fonder un raisonnement en se référant à la jurisprudence rendue dans des causes pénales, a fortiori quand la matière traitée - en l'espèce, la circulation routière - concerne un domaine similaire et/ou se fonde sur un état de fait semblable, voire identique. En outre, si le département, puis la juridiction cantonale ont rappelé les principes découlant de l' ATF 131 IV 133 , ils ont ensuite cité des exemples de jurisprudence relatifs à des affaires administratives afin d'étayer leur point de vue, manière de procéder qui ne peut être critiquée.</w:t>
      </w:r>
    </w:p>
    <w:p>
      <w:r>
        <w:rPr>
          <w:b/>
        </w:rPr>
        <w:t>E. 2.4</w:t>
      </w:r>
    </w:p>
    <w:p>
      <w:r>
        <w:t>Quant à la qualification de faute grave effectuée par l'autorité précédente, aucun des arguments du recourant ne vient la remettre en cause.</w:t>
      </w:r>
    </w:p>
    <w:p>
      <w:r>
        <w:t>Il est établi que le recourant a suivi, à une vitesse de 112 km/h sur 497 mètres, un véhicule à une distance de 14.58 mètres. Le temps de parcours entre les deux voitures était alors de 0.47 seconde. Ce chiffre est donc très proche de l'écart retenu dans la cause 1C_446/2011 (0.4 seconde) où la faute a été qualifiée de grave. En revanche, il correspond à peine au quart de l'intervalle à respecter en vertu des règles de prudence (1.8 secondes) et est également inférieur de presque une demi du temps de 0.9 seconde qui prévaut dans la cause 1C_424/2012 où une faute moyennement grave a pu être retenue. Quant à l'arrêt 1C_104/2009 du 26 mai 2009 (intervalle de 0.68 seconde) et aux deux références qui y sont citées ( ATF 126 II 358 [0.33 seconde] et 6A.54/2004 [0.41 seconde]) dont le recourant entend se prévaloir, il ne peut en être déduit de manière absolue que tant que l'intervalle serait supérieur à 0.33 seconde, seule une faute moyennement grave devrait être retenue. En effet, dans ces trois causes, ce n'était pas la qualification de faute grave qui était contestée, mais uniquement celle de faute moyennement grave, appréciation que le Tribunal fédéral a confirmée sans examiner, ni exclure, si une qualification plus grave en fonction des circonstances aurait pu s'imposer (cf. notamment la mention que "le conducteur commet</w:t>
      </w:r>
    </w:p>
    <w:p>
      <w:r>
        <w:t>en tout cas une faute moyennement grave" [arrêt 1C_104/2009 consid. 3.1 in fine]). En conséquence, il n'est pas contraire au droit fédéral de retenir qu'un temps de parcours de 0.47 seconde entre deux véhicules peut être constitutif d'une infraction grave.</w:t>
      </w:r>
    </w:p>
    <w:p>
      <w:r>
        <w:t>En outre et contrairement à ce que soutient le recourant, une distance de seulement 14.58 mètres à une vitesse de 112 km/h n'est pas suffisante pour garantir l'absence de collision avec l'arrière du véhicule précédent en cas de brusque changement des circonstances; cela vaut en particulier si un freinage d'urgence s'impose. De plus, dès lors que la vitesse est élevée, la distance de freinage est augmentée en conséquence et ainsi le seul fait de disposer d'un véhicule en bon état de fonctionnement ne permet pas de garantir l'absence d'accident. Si l'infraction n'a été commise que sur une distance de moins d'un demi kilomètre, elle a toutefois été réalisée sur la voie de dépassement et alors que la densité de la circulation était importante, le recourant ayant donc pris le risque de mettre sérieusement en danger tant sa sécurité que celle d'autrui.</w:t>
      </w:r>
    </w:p>
    <w:p>
      <w:r>
        <w:t>Partant, la juridiction cantonale n'a pas procédé de manière arbitraire, ni violé son pouvoir d'appréciation, en confirmant la mesure prononcée par le département.</w:t>
      </w:r>
    </w:p>
    <w:p>
      <w:r>
        <w:rPr>
          <w:b/>
        </w:rPr>
        <w:t>E. 3</w:t>
      </w:r>
    </w:p>
    <w:p>
      <w:r>
        <w:t>Il s'ensuit que le recours est rejeté.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