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1C_553/2016 vom 28. November 2016</w:t>
      </w:r>
    </w:p>
    <w:p>
      <w:r>
        <w:t>Bundesgericht, 2016-11-28, DE</w:t>
      </w:r>
    </w:p>
    <w:p>
      <w:r>
        <w:rPr>
          <w:b/>
        </w:rPr>
        <w:t xml:space="preserve">Quelle: </w:t>
      </w:r>
      <w:r>
        <w:t>https://mcp.opencaselaw.ch/entscheid/bger_1C_553_2016</w:t>
      </w:r>
    </w:p>
    <w:p>
      <w:r>
        <w:t>FR: TF 1C_553/2016 du 28 novembre 2016</w:t>
      </w:r>
    </w:p>
    <w:p>
      <w:r>
        <w:t>IT: TF 1C_553/2016 del 28 novembre 2016</w:t>
      </w:r>
    </w:p>
    <w:p>
      <w:pPr>
        <w:pStyle w:val="Heading2"/>
      </w:pPr>
      <w:r>
        <w:t>Erwägungen</w:t>
      </w:r>
    </w:p>
    <w:p>
      <w:r>
        <w:rPr>
          <w:b/>
        </w:rPr>
        <w:t>E. 1</w:t>
      </w:r>
    </w:p>
    <w:p>
      <w:r>
        <w:t>X.________ reichte am 3. März 2014 beim Untersuchungsamt Altstätten eine Strafanzeige gegen die Gemeindepräsidentin von Balgach wegen Amtsgeheimnisverletzung ein. Mit Schreiben vom 22. August 2016 leitete das Untersuchungsamt Altstätten die Strafanzeige zwecks Durchführung des Ermächtigungsverfahrens an die Anklagekammer des Kantons St. Gallen weiter. Die Anklagekammer des Kantons St. Gallen erteilte mit Entscheid vom 14. September 2016 keine Ermächtigung zur Eröffnung eines Strafverfahrens. Zur Begründung führte die Anklagekammer zusammenfassend aus, dass sich aus den angezeigten Sachverhalten und den eingereichten Unterlagen keine hinreichend konkreten Anhaltspunkte für einen genügenden Anfangsverdacht ergeben würden.</w:t>
      </w:r>
    </w:p>
    <w:p>
      <w:r>
        <w:rPr>
          <w:b/>
        </w:rPr>
        <w:t>E. 2</w:t>
      </w:r>
    </w:p>
    <w:p>
      <w:r>
        <w:t>X.________ führt mit Eingabe vom 24. November 2016 Beschwerde gegen den Entscheid der Anklagekammer des Kantons St. Gallen. 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Begründung des angefochtenen Entscheids überhaupt nicht auseinander und vermag mit seinen nicht sachbezogenen Ausführungen nicht ansatzweise aufzuzeigen, inwiefern die Verweigerung der Ermächtigung in rechts- bzw. verfassungswidriger Weise erfolgt sein soll. Somit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