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553/2011 vom 19. Januar 2012</w:t>
      </w:r>
    </w:p>
    <w:p>
      <w:r>
        <w:t>Bundesgericht, 2012-01-19, DE</w:t>
      </w:r>
    </w:p>
    <w:p>
      <w:r>
        <w:rPr>
          <w:b/>
        </w:rPr>
        <w:t xml:space="preserve">Quelle: </w:t>
      </w:r>
      <w:r>
        <w:t>https://mcp.opencaselaw.ch/entscheid/bger_1C_553_2011</w:t>
      </w:r>
    </w:p>
    <w:p>
      <w:r>
        <w:t>FR: TF 1C 553/2011 du 19 janvier 2012</w:t>
      </w:r>
    </w:p>
    <w:p>
      <w:r>
        <w:t>IT: TF 1C 553/2011 del 19 gennaio 2012</w:t>
      </w:r>
    </w:p>
    <w:p>
      <w:pPr>
        <w:pStyle w:val="Heading2"/>
      </w:pPr>
      <w:r>
        <w:t>Regeste</w:t>
      </w:r>
    </w:p>
    <w:p>
      <w:r>
        <w:t>Internationale Rechtshilfe in Strafsachen an Indien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Nach der Rechtsprechung hat der Beschwerdeführer in einem Fall wie hier, in dem die Vorinstanz auf seine Beschwerde nicht eingetreten ist, darzulegen, weshalb diese in der Sache ernsthafte Aussicht auf Erfolg gehabt hätte ( Art. 42 Abs. 2 BGG ). Ist dies weder dargetan noch ersichtlich, tritt das Bundesgericht mangels besonders bedeutenden Falles nach Art. 84 BGG auf die Beschwerde in öffentlich-rechtlichen Angelegenheiten nicht ein, da es sich nicht mit Fragen befasst, denen im konkreten Fall keine praktische Bedeutung zukommt (Urteile 1C_39/2011 vom 23. März 2011 E. 2; 1C_106/2007 vom 21. Mai 2007 E. 1.3, in: RtiD 2008 I S. 711). Die Beschwerdeführer legen in der Beschwerde in öffentlich-rechtlichen Angelegenheiten nicht dar, weshalb ihre Beschwerde an die Vorinstanz ernsthafte Aussicht auf Erfolg gehabt hätte. Dies ist auch nicht ersichtlich. Die Beschwerde an die Vorinstanz stimmt im Wesentlichen wörtlich überein mit jener, welche der Beschwerdeführer 1 gegen die Schlussverfügung Nr. 1 erhoben hat. Zu jener Beschwerde hat sich das Bundesamt mit Vernehmlassung vom 14. November 2011 geäussert (RR.2011/239 act. 12). Es hat die gegen die Rechtshilfe vorgebrachten Einwände als unbegründet erachtet. Die Ausführungen des Bundesamtes überzeugen in jeder Hinsicht. Der Frage, ob die Beschwerdeführer die Beschwerde an die Vorinstanz rechtzeitig erhoben haben, kommt daher keine praktische Bedeutung zu, da sie ohnehin abzuweisen gewesen wäre und es demnach in jedem Fall bei den mit der Schlussverfügung Nr. 2 angeordneten Rechtshilfemassnahmen geblieben wäre. In Anbetracht dessen kann der vorliegende Fall nicht als besonders bedeutend eingestuft werden. Die Beschwerde ist deshalb unzulässig.</w:t>
      </w:r>
    </w:p>
    <w:p>
      <w:r>
        <w:rPr>
          <w:b/>
        </w:rPr>
        <w:t>E. 2</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