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552/2019 vom 23. Oktober 2019</w:t>
      </w:r>
    </w:p>
    <w:p>
      <w:r>
        <w:t>Bundesgericht, 2019-10-23, DE</w:t>
      </w:r>
    </w:p>
    <w:p>
      <w:r>
        <w:rPr>
          <w:b/>
        </w:rPr>
        <w:t xml:space="preserve">Quelle: </w:t>
      </w:r>
      <w:r>
        <w:t>https://mcp.opencaselaw.ch/entscheid/bger_1C_552_2019</w:t>
      </w:r>
    </w:p>
    <w:p>
      <w:r>
        <w:t>FR: TF 1C 552/2019 du 23 octobre 2019</w:t>
      </w:r>
    </w:p>
    <w:p>
      <w:r>
        <w:t>IT: TF 1C 552/2019 del 23 ottobre 2019</w:t>
      </w:r>
    </w:p>
    <w:p>
      <w:pPr>
        <w:pStyle w:val="Heading2"/>
      </w:pPr>
      <w:r>
        <w:t>Regeste</w:t>
      </w:r>
    </w:p>
    <w:p>
      <w:r>
        <w:t>Auslieferung an Italien | Rechtshilfe und Auslieferung</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 Ein besonders bedeutender Fall liegt insbesondere vor, wenn Gründe für die Annahme bestehen, dass elementare Verfahrensgrundsätze verletzt worden sind oder das Verfahren im Ausland schwere Mängel aufweist ( Art. 84 Abs. 2 BGG ; BGE 145 IV 99 E. 1 S. 104 ff.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S. 104 f. mit Hinweisen).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S. 107 mit Hinweisen). 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Der Beschwerdeführer macht geltend, es liege ein besonders bedeutender Fall vor, weil er nicht während des gesamten Verfahrens anwaltlich vertreten gewesen und die Verurteilung in seiner Abwesenheit erfolgt sei. Dies verletze elementare Verfahrensgrundsätze. Zudem habe das Bundesstrafgericht die Begründungspflicht verletzt, indem es seinen Eventualantrag, es sei ihm eine Garantie für die Neubeurteilung seines Falls zu geben, nicht geprüft habe. Gemäss den vorinstanzlichen Feststellungen floh der Beschwerdeführer am 20. Juni 1998, einige Tage nach seiner Verhaftung, aus der Haftanstalt. Die nachfolgende Durchführung eines Abwesenheitsver-fahrens ohne die Möglichkeit einer neuen Beurteilung verstiess deshalb nicht gegen Art. 6 EMRK (Urteil des EGMR Demebukov gegen Bulgarien vom 28. Februar 2008, Beschwerde-Nr. 68020/01, Ziff. 57 f.). Allein dass der Beschwerdeführer nicht während des gesamten Verfahrens (ununterbrochen) über einen Verteidiger verfügte, stellt die Verfahrensfairness ebenfalls nicht in Frage, solange im Ergebnis eine effektive Verteidigung gewährleistet war. Das Bundesstrafgericht hielt dazu fest, der Wahlverteidiger des Beschwerdeführers habe sein Mandat bereits am 15. Juni 1998 niedergelegt. Da der Beschwerdeführer darauf verzichtete, einen anderen Wahlverteidiger zu mandatieren, wurde ihm ein amtlicher Verteidiger bestellt. Zwar macht der Beschwerdeführer geltend, die Verteidigung sei unzureichend gewesen, weil er den Verteidiger nicht habe instruieren können und weil dieser kein Rechtsmittel gegen das Urteil eingelegt habe. Dabei übersieht er, dass die fehlende Möglichkeit der Instruktion seiner eigenen Flucht zuzuschreiben ist und nicht behördlichem Verhalten. Zudem stellt es keine offensichtliche Pflichtverletzung dar, wenn ein Verteidiger aufgrund seiner eigenen Einschätzung der Erfolgsaussichten auf das Ergreifen eines Rechtsmittels verzichtet. Eine offensichtlich ungenügende Verteidigung ist nicht erkennbar (vgl. Urteil 1A.135/2005 vom 22. August 2005 E. 3.2.2 mit Hinweisen). Schliesslich verletzte die Vorinstanz auch nicht die Begründungspflicht ( Art. 29 Abs. 2 BV ). Sie legte dar, weshalb sie davon ausging, dass die Mindestrechte des Beschwerdeführers im italienischen Strafverfahren gewahrt worden waren (s. Art. 3 Ziff. 1 des Zweiten Zusatzprotokolls zum Europäischen Auslieferungsübereinkommen vom 17. März 1978 [SR 0.353.12]). Damit sei auch der Eventualantrag in Bezug auf die Einholung einer Garantie seitens des italienischen Justizministeriums abzuweisen. Der Beschwerdeführer legt nicht dar, dass aus einem anderen Grund ein besonders bedeutender Fall gegeben wäre. Das ist auch nicht ersichtlich.</w:t>
      </w:r>
    </w:p>
    <w:p>
      <w:r>
        <w:rPr>
          <w:b/>
        </w:rPr>
        <w:t>E. 2</w:t>
      </w:r>
    </w:p>
    <w:p>
      <w:r>
        <w:t>Auf die Beschwerde ist aus diesen Erwägungen nicht einzutreten. Das Gesuch des Beschwerdeführers um unentgeltliche Rechtspflege kann wegen Aussichtslosigkeit nicht bewilligt werden ( Art. 64 BGG ). Unter den gegebenen Umständen erscheint es indessen gerechtfertigt, dem Beschwerdeführer keine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