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1C_552/2008 vom 8. Dezember 2008</w:t>
      </w:r>
    </w:p>
    <w:p>
      <w:r>
        <w:t>Bundesgericht, 2008-12-08, FR</w:t>
      </w:r>
    </w:p>
    <w:p>
      <w:r>
        <w:rPr>
          <w:b/>
        </w:rPr>
        <w:t xml:space="preserve">Quelle: </w:t>
      </w:r>
      <w:r>
        <w:t>https://mcp.opencaselaw.ch/entscheid/bger_1C_552_2008</w:t>
      </w:r>
    </w:p>
    <w:p>
      <w:r>
        <w:t>FR: TF 1C_552/2008 du 8 décembre 2008</w:t>
      </w:r>
    </w:p>
    <w:p>
      <w:r>
        <w:t>IT: TF 1C_552/2008 del 8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109 al. 1 LTF , la cour siège à trois juges lorsqu'elle refuse d'entrer en matière sur un recours soumis à l'exigence de l' art. 84 LTF .</w:t>
      </w:r>
    </w:p>
    <w:p>
      <w:r>
        <w:rPr>
          <w:b/>
        </w:rPr>
        <w:t>E. 2</w:t>
      </w:r>
    </w:p>
    <w:p>
      <w:r>
        <w:t>Selon cette disposition, le recours est recevable, à l'encontre d'un arrêt du Tribunal pénal fédéral en matière d'extradition, lorsqu'il s'agit d'un cas particulièrement important (al. 1). Un cas est particulièrement important "notamment lorsqu'il y a des raisons de supposer que la procédure à l'étranger viole des principes fondamentaux ou comporte d'autres vices graves" (al. 2). Selon l' art. 42 al. 2 LTF , c'est au recourant qu'il appartient de démontrer que ces conditions sont réunies.</w:t>
      </w:r>
    </w:p>
    <w:p>
      <w:r>
        <w:rPr>
          <w:b/>
        </w:rPr>
        <w:t>E. 2.1</w:t>
      </w:r>
    </w:p>
    <w:p>
      <w:r>
        <w:t>En l'occurrence, le recourant est extradé à la France. Il estime qu'il y aurait une violation du principe de la spécialité, sans autre précision; on ne voit dès lors pas en quoi la procédure à l'étranger comporterait un risque de violation des principes fondamentaux ou pourrait présenter des vices graves. Contrairement à ce qu'allègue le recourant, une extradition est parfaitement possible lorsque le jugement étranger a été rendu par défaut ( ATF 129 II 56 ).</w:t>
      </w:r>
    </w:p>
    <w:p>
      <w:r>
        <w:rPr>
          <w:b/>
        </w:rPr>
        <w:t>E. 2.2</w:t>
      </w:r>
    </w:p>
    <w:p>
      <w:r>
        <w:t>Le recourant perd également de vue que l'arrêt attaqué déclare irrecevable le recours formé contre la décision d'extradition, en raison de son caractère tardif; or, le recourant évoque des griefs de fond, sans toutefois critiquer d'aucune manière ce prononcé d'irrecevabilité.</w:t>
      </w:r>
    </w:p>
    <w:p>
      <w:r>
        <w:rPr>
          <w:b/>
        </w:rPr>
        <w:t>E. 3</w:t>
      </w:r>
    </w:p>
    <w:p>
      <w:r>
        <w:t>Faute de motivation suffisante au sens de l' art. 42 al. 1 LTF , le recours est irrecevable. Conformément à l' art. 60 al. 1 LTF , les frais judiciaires sont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