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1C_551/2015 vom 22. März 2016</w:t>
      </w:r>
    </w:p>
    <w:p>
      <w:r>
        <w:t>Bundesgericht, 2016-03-22, FR</w:t>
      </w:r>
    </w:p>
    <w:p>
      <w:r>
        <w:rPr>
          <w:b/>
        </w:rPr>
        <w:t xml:space="preserve">Quelle: </w:t>
      </w:r>
      <w:r>
        <w:t>https://mcp.opencaselaw.ch/entscheid/bger_1C_551_2015</w:t>
      </w:r>
    </w:p>
    <w:p>
      <w:r>
        <w:t>FR: TF 1C_551/2015 du 22 mars 2016</w:t>
      </w:r>
    </w:p>
    <w:p>
      <w:r>
        <w:t>IT: TF 1C_551/2015 del 22 marzo 2016</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 Il convient donc d'entrer en matière sur le recours, sous réserve des conclusions subsidiaires tendant à ce que le recourant soit acheminé à prouver les faits qu'il allègue. Le recourant perd en effet de vue que le Tribunal fédéral est un juge du droit et non du fait (cf. art. 105 al. 1 LTF ) et que des mesures probatoires ne sont qu'exceptionnellement ordonnées dans une procédure de recours ( ATF 136 II 101 consid. 2 p. 104). Il n'y a pas de motif de faire exception ici, de sorte que cette conclusion est irrecevable.</w:t>
      </w:r>
    </w:p>
    <w:p>
      <w:r>
        <w:rPr>
          <w:b/>
        </w:rPr>
        <w:t>E. 2</w:t>
      </w:r>
    </w:p>
    <w:p>
      <w:r>
        <w:t>Dans un grief qu'il convient d'examiner en premier lieu, le recourant se plaint d'une violation de son droit d'être entendu. A le suivre, l'instance précédente ne pouvait se contenter de se fonder sur les déclarations de son ex-épouse pour conclure à l'existence de problèmes conjugaux, respectivement pour en déterminer la nature, et se devait d'en vérifier la véracité par le biais d'une instruction contradictoire; selon lui une confrontation aurait dû être mise en oeuvre.</w:t>
      </w:r>
    </w:p>
    <w:p>
      <w:r>
        <w:rPr>
          <w:b/>
        </w:rPr>
        <w:t>E. 2.1</w:t>
      </w:r>
    </w:p>
    <w:p>
      <w:r>
        <w:t>Le droit d'être entendu garanti à l' art. 29 al. 2 Cst. comprend notamment le droit pour l'intéressé de faire administrer les preuves proposées pour autant qu'elles apparaissent utiles à l'établissement des faits pertinents ( ATF 140 I 285 consid. 6.3.1 p. 299 et les références citées). En procédure administrative fédérale, cette garantie constitutionnelle est concrétisée en particulier par les art. 12 ss et 29 ss de la loi fédérale sur la procédure administrative du 20 décembre 1968 (PA; RS 172.021). Selon l' art. 12 PA , l'autorité constate les faits d'office et procède s'il y a lieu à l'administration de preuves.</w:t>
      </w:r>
    </w:p>
    <w:p>
      <w:r>
        <w:t>L'autorité peut donc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et les réf. citées; sur la notion d'arbitraire, cf. ATF 132 I 13 consid. 5.1 p. 17).</w:t>
      </w:r>
    </w:p>
    <w:p>
      <w:r>
        <w:rPr>
          <w:b/>
        </w:rPr>
        <w:t>E. 2.2</w:t>
      </w:r>
    </w:p>
    <w:p>
      <w:r>
        <w:t>En l'occurrence, il ressort du dossier qu'à sa demande l'ex-épouse a été auditionnée en l'absence du recourant. Il apparaît également qu'en dépit de la requête de ce dernier, le SEM a refusé de réitérer cette mesure d'instruction en sa présence. L'autorité a estimé qu'en lui donnant la possibilité de prendre position par écrit sur le procès-verbal d'audition, son droit d'être entendu était respecté.</w:t>
      </w:r>
    </w:p>
    <w:p>
      <w:r>
        <w:t>Cette appréciation n'est pas critiquable. Le recourant s'est en effet déterminé par écrit à plusieurs reprises sur le contenu de l'audition de son ex-épouse; il a également produit devant l'autorité de première instance des témoignages écrits en rapport avec les déclarations verbalisées à cette occasion. Dans ces circonstances et dans la mesure ou ni l' art. 29 PA ni l' art. 29 Cst. ne donnent à celui qui est partie à une procédure administrative le droit d'être entendu oralement (cf. ATF 134 I 140 consid. 5.3 p. 148; cf. également WALDMANN/BICKEL, in Praxiskommentar zum VwVG, Waldmann/Weissenberger [éd.], 2009, n° 84 ad art. 29 PA ), c'est sans violer le droit d'être entendu que les autorités précédentes ont refusé la mise en oeuvre de la séance contradictoire demandée par le recourant. Ce dernier ne démontre d'ailleurs pas en quoi une nouvelle audition de son ex-épouse, en sa présence, serait susceptible de modifier l'appréciation de l'instance précédente; à cet égard, il se contente de reproduire ses propres déclarations et d'en déduire péremptoirement que le Tribunal administratif fédéral aurait à tort retenu l'existence de dissensions conjugales. Outre que cette manière de procéder ne répond pas aux exigences de motivation des art. 42 al. 2 et 106 al. 2 LTF, le recourant se méprend sur l'influence de l'existence, respectivement de la nature de ces problèmes conjugaux sur le sort de la cause. En effet, comme on le verra ci-après (cf. consid. 3.1.3 et 3.3), le Tribunal administratif fédéral s'est principalement, et à juste titre, basé sur l'enchaînement rapide des événements ayant précédé la séparation pour fonder la présomption de fait que la naturalisation a été obtenue frauduleusement; les querelles du couple ne constituent, dans ce cadre, qu'un indice renforçant la conviction du tribunal et pas un élément matériellement déterminant.</w:t>
      </w:r>
    </w:p>
    <w:p>
      <w:r>
        <w:t>Il s'ensuit que le grief tiré d'une violation du droit d'être entendu - mal fondé - doit être écarté pour autant que recevable.</w:t>
      </w:r>
    </w:p>
    <w:p>
      <w:r>
        <w:rPr>
          <w:b/>
        </w:rPr>
        <w:t>E. 3</w:t>
      </w:r>
    </w:p>
    <w:p>
      <w:r>
        <w:t>Le recourant invoque encore une application arbitraire du droit. Il conteste avoir avoir obtenu la naturalisation par des déclarations mensongères, respectivement par la dissimulation de faits essentiels. Il se plaint dans ce cadre d'une violation des art. 27 et 41 de la loi fédérale sur l'acquisition et la perte de la nationalité suisse du 29 septembre 1952 (LN; RS 141.0).</w:t>
      </w:r>
    </w:p>
    <w:p>
      <w:r>
        <w:rPr>
          <w:b/>
        </w:rPr>
        <w:t>E. 3.1</w:t>
      </w:r>
    </w:p>
    <w:p>
      <w:r>
        <w:t>Conformément à l' art. 41 al. 1 LN , l'ODM peut, avec l'assentiment de l'autorité du canton d'origine, annuler la naturalisation ou la réintégration obtenue par des déclarations mensongères ou la dissimulation de faits essentiels.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rPr>
          <w:b/>
        </w:rPr>
        <w:t>E. 3.1.2</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3.1.3</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Tribunal administratif fédéral a constaté que le mariage a été célébré le 18 juillet 2003, qu'une demande de naturalisation facilitée a été déposée le 16 novembre 2006 et que, le 14 mars 2008, les époux ont signé une déclaration de vie commune. La naturalisation facilitée a été accordée par décision du 27 mai 2008, entrée en force le 28 juin 2008. Aux dires des intéressés, l'ex-épouse a décidé de se séparer au début de l'année 2009 et a quitté le domicile conjugal le 16 mai suivant. Par prononcé de mesures protectrices de l'union conjugale du 19 novembre 2009, ils ont été autorisés à vivre séparés; par jugement du 7 mai 2012, le divorce a été prononcé. Face à l'enchaînement chronologique rapide de ces événements, en particulier en raison du bref intervalle de temps écoulé entre l'octroi de la naturalisation et la séparation (douze mois), le Tribunal administratif fédéral a présumé que la communauté conjugale n'était pas stable au moment la déclaration commune et au jour de la décision de naturalisation.</w:t>
      </w:r>
    </w:p>
    <w:p>
      <w:r>
        <w:t>Différents indices ont encore renforcé la conviction de l'instance précédente. Il s'agit notamment de l'existence de difficultés au sein du couple depuis le début de la relation; le Tribunal administratif fédéral a dans ce cadre mentionné que les époux souffraient d'un manque de communication et se trouvaient en désaccord sur de nombreux sujets; par ailleurs, même si les versions divergent quant aux dates, il est constant que les époux ont fait chambre à part après l'octroi de la naturalisation et que cette situation a perduré jusqu'à leur séparation. Le Tribunal administratif fédéral a encore souligné que le recourant a déposé, peu de temps après la séparation, une requête de mesures protectrices de l'union conjugale dans le seul but de préserver ses intérêts, à l'exclusion de toute démarche tendant à une éventuelle réconciliation. L'instance précédente a par ailleurs relevé que le mariage était intervenu alors que le recourant se trouvait en Suisse sous le statut d'étudiant, statut ne lui conférant alors pas une situation stable au regard du droit des étrangers.</w:t>
      </w:r>
    </w:p>
    <w:p>
      <w:r>
        <w:rPr>
          <w:b/>
        </w:rPr>
        <w:t>E. 3.3</w:t>
      </w:r>
    </w:p>
    <w:p>
      <w:r>
        <w:t>Quoi qu'en dise le recourant, cette appréciation est conforme à la jurisprudence et à la pratique (cf. notamment arrêts 1C_674/2013 du 12 décembre 2013 consid. 3.3; 1C_172/2012 du 11 mai 2012 consid. 2.2; 1C_472/2011 du 22 décembre 2011 consid. 2.1.3). L'arrêt 1C_228/2011 du 6 décembre 2011 (en particulier consid. 2.3), dont il se prévaut, ne lui est à cet égard d'aucun secours: outre que la question de la présomption n'a pas été tranchée dans cette affaire, le laps de temps entre la naturalisation et la rupture s'avère y avoir été plus important qu'en l'espèce; de surcroît, cette séparation n'a été que momentanée, les époux concernés ayant repris la vie commune après s'être réconciliés. Pour le surplus, la critique du recourant est essentiellement dirigée contre les autres éléments retenus par l'instance précédente pour renforcer cette présomption. Il conteste ainsi longuement que son mariage ait été motivé par son statut précaire d'étudiant et que son couple ait été gangréné de longue date par des difficultés plus ou moins importantes. La recevabilité de cette argumentation apparaît douteuse, le recourant se contentant, ici encore, de reproduire ses propres déclarations et d'opposer péremptoirement sa version des faits à celle de l'instance précédente (art. 42 al. 2 et 106 al. 2 LTF; cf. ATF 137 I 58 consid. 4.1.2 p. 62); en tout état, elle se révèle sans pertinence: les éléments sur lesquels elle s'appuie ne constituent qu'un faisceau d'indices relevé par l'instance précédente pour asseoir sa conviction quant au caractère frauduleux de l'obtention de la naturalisation; ils n'entrent en revanche pas en ligne de compte, en tant que tels, dans l'examen de la présomption de fait.</w:t>
      </w:r>
    </w:p>
    <w:p>
      <w:r>
        <w:rPr>
          <w:b/>
        </w:rPr>
        <w:t>E. 3.4</w:t>
      </w:r>
    </w:p>
    <w:p>
      <w:r>
        <w:t>Par ailleurs, le Tribunal administratif fédéral pouvait admettre sans violer le droit fédéral que les explications du recourant n'étaient pas de nature à renverser cette présomption. En effet, si, comme le soutient ce dernier, son couple n'était pas en proie à des difficultés antérieures, on peine à se convaincre que la seule volonté de l'ex-épouse de déménager à Berne, son canton d'origine, pût constituer un élément extraordinaire imprévisible ayant conduit à une détérioration rapide du lien conjugal. Ce départ précipité, intervenu sans qu'il ne soit établi qu'une tentative préalable de conciliation ait été menée, laisse apparaître cet événement comme l'aboutissement d'un long processus de dégradation des relations entre les ex-époux. Le recourant l'admet d'ailleurs implicitement en affirmant qu'il "ne paraît pas invraisemblable que les problèmes de couple existant avant la séparation ne soient pas exclusivement à l'origine de la séparation des époux au mois de mai de 2009, puisque le désir de [son ex-épouse] de quitter Genève pour le canton de Berne apparaît, à ce moment-là, comme un élément essentiel justifiant la rupture de la communauté conjugale". En outre, si la détérioration des relations n'est intervenue - à en croire le recourant - qu'au moment du départ de son ex-épouse, au printemps 2009, on peut également s'étonner de l'absence de toute tentative de conciliation ultérieure et du dépôt d'une requête de mesures protectrices concluant à la vie séparée; l'instance précédente pouvait ainsi reconnaître que ces éléments témoignaient d'un manque de volonté de sauver le couple, incompatible avec l'existence d'une union effective et stable telle qu'exigée par l' art. 27 al. 1 let . c LN (cf. arrêt 1C_255/2011 du 27 septembre 2011 consid. 2.1.1).</w:t>
      </w:r>
    </w:p>
    <w:p>
      <w:r>
        <w:rPr>
          <w:b/>
        </w:rPr>
        <w:t>E. 3.5</w:t>
      </w:r>
    </w:p>
    <w:p>
      <w:r>
        <w:t>On ne saurait par ailleurs réserver un écho favorable aux dires du recourant lorsqu'il prétend ne pas avoir été conscient, lors de la signature de la déclaration commune, de l'instabilité de son couple. Celui-ci n'a en effet présenté aucun élément commandant de revenir sur les affirmations de son ex-épouse, qui a indiqué qu'elle n'avait passé que peu de temps avec son conjoint, encore moins après l'entrée en force de sa naturalisation - intervenue trois mois après la signature de cette déclaration -, le couple n'ayant depuis lors entrepris aucune activité conjointe. Dans ce contexte, face de surcroît au doute instauré par l'existence de dissensions au sein du couple - admises à tout le moins implicitement par le recourant (cf. consid. 3.4) - quant à la stabilité de l'union, on ne saurait reprocher au Tribunal administratif fédéral d'avoir exigé de celui-ci qu'il fournisse, en vertu de son devoir de collaboration ( art. 13 al. 1 PA ), des éléments concrets ("par exemple en indiquant notamment les dates d'activités communes entreprises par le couple, éventuellement avec des photos à l'appui") appuyant ses allégations. Devant le Tribunal fédéral, le recourant n'explique d'ailleurs pas en quoi cette appréciation apparaîtrait critiquable.</w:t>
      </w:r>
    </w:p>
    <w:p>
      <w:r>
        <w:rPr>
          <w:b/>
        </w:rPr>
        <w:t>E. 3.6</w:t>
      </w:r>
    </w:p>
    <w:p>
      <w:r>
        <w:t>Dans ces circonstances, on ne décèle pas de motif commandant de renverser la présomption déduite de l'enchaînement rapide des événements, dont on a vu que l'application au cas d'espèce n'était pas critiquable (cf. consid. 3.3). Il s'ensuit que c'est sans violer le droit que le Tribunal administratif fédéral a confirmé l'annulation de la naturalisation facilitée octroyée au recourant; ce grief, très largement appellatoire et à la limite de la recevabilité, doit partant être écarté.</w:t>
      </w:r>
    </w:p>
    <w:p>
      <w:r>
        <w:rPr>
          <w:b/>
        </w:rPr>
        <w:t>E. 4</w:t>
      </w:r>
    </w:p>
    <w:p>
      <w:r>
        <w:t>Sur le vu de ce qui précède, le recours doit être rejeté dans la mesure de sa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