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1C_550/2021 vom 5. November 2021</w:t>
      </w:r>
    </w:p>
    <w:p>
      <w:r>
        <w:t>Bundesgericht, 2021-11-05, DE</w:t>
      </w:r>
    </w:p>
    <w:p>
      <w:r>
        <w:rPr>
          <w:b/>
        </w:rPr>
        <w:t xml:space="preserve">Quelle: </w:t>
      </w:r>
      <w:r>
        <w:t>https://mcp.opencaselaw.ch/entscheid/bger_1C_550_2021</w:t>
      </w:r>
    </w:p>
    <w:p>
      <w:r>
        <w:t>FR: TF 1C_550/2021 du 5 novembre 2021</w:t>
      </w:r>
    </w:p>
    <w:p>
      <w:r>
        <w:t>IT: TF 1C_550/2021 del 5 novembre 2021</w:t>
      </w:r>
    </w:p>
    <w:p>
      <w:pPr>
        <w:pStyle w:val="Heading2"/>
      </w:pPr>
      <w:r>
        <w:t>Erwägungen</w:t>
      </w:r>
    </w:p>
    <w:p>
      <w:r>
        <w:rPr>
          <w:b/>
        </w:rPr>
        <w:t>E. 1</w:t>
      </w:r>
    </w:p>
    <w:p>
      <w:r>
        <w:t>Am 10. Februar 2021 erstattete A.________ Strafanzeige gegen die Betreibungsbeamtin B.________ wegen Amtsmissbrauchs. Zur Begründung führte sie an, diese habe Fr. 213'500.- Franken gepfändet, mithin 50 Mal mehr, als in Betreibung gesetzt worden sei.</w:t>
      </w:r>
    </w:p>
    <w:p>
      <w:r>
        <w:t>Am 16. März 2021 überwies die Staatsanwaltschaft Zürich-Limmat die Akten ans Obergericht des Kantons Zürich mit dem Antrag, über die Erteilung bzw. Nichterteilung der Ermächtigung zur Durchführung einer Strafuntersuchung zu entscheiden. Mangels eines deliktsrelevanten Tatverdachts sei die Ermächtigung nicht zu erteilen.</w:t>
      </w:r>
    </w:p>
    <w:p>
      <w:r>
        <w:t>Mit Beschluss vom 12. Juli 2021 erteilte das Obergericht der Staatsanwaltschaft die Ermächtigung zur Eröffnung eines Strafverfahrens gegen B.________ nicht.</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von B.________,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2.2</w:t>
      </w:r>
    </w:p>
    <w:p>
      <w:r>
        <w:t>Das Obergericht hat im angefochtenen Entscheid (E. III. S. 4 f.) erwogen, in der fraglichen Betreibung sei für eine Forderung von Fr. 4'124.90 bei der Beschwerdeführerin ein Betrag von Fr. 213'500.- gepfändet worden. Selbst wenn dem Betreibungsamt bei der Pfändung ein grober Fehler unterlaufen sein sollte, liesse sich allein damit noch kein strafrechtlicher Vorwurf begründen. Einerseits habe die Betreibungsbeamtin, wovon auch die Anzeigerin selber ausgehe, auf Weisung ihres Vorgesetzten gehandelt, und anderseits bestünden keine Anhaltspunkte dafür, dass sie das Geld auf ihr eigenes Konto habe abzweigen und die Beschwerdeführerin schädigen wollen. Ob die Betreibung unter schuldbetreibungsrechtlichen Gesichtspunkten rechtmässig gewesen sei, sei nicht im Ermächtigungsverfahren zu prüfen.</w:t>
      </w:r>
    </w:p>
    <w:p>
      <w:r>
        <w:rPr>
          <w:b/>
        </w:rPr>
        <w:t>E. 2.3</w:t>
      </w:r>
    </w:p>
    <w:p>
      <w:r>
        <w:t>Die Beschwerdeführerin verweist im Wesentlichen wiederum bloss auf die grosse Differenz zwischen der in Betreibung gesetzten Forderung und der Pfändung und macht die Verletzung verschiedener betreibungsrechtlicher Vorschriften geltend. Mit diesen und ähnlichen Vorbringen setzt sie sich mit dem angefochtenen Entscheid nicht sachgerecht auseinander und bringt nichts vor, was die offensichtlich zutreffende Einschätzung des Obergerichts, die in der Strafanzeige erhobenen Vorwürfe seien nicht geeignet, einen Anfangsverdacht für ein amtsmissbräuchliches Verhalten der Beschwerdegegnerin zu begründen, der die Eröffnung einer Strafuntersuchung rechtfertigen könnte, in Frage zu stellen.</w:t>
      </w:r>
    </w:p>
    <w:p>
      <w:r>
        <w:rPr>
          <w:b/>
        </w:rPr>
        <w:t>E. 3</w:t>
      </w:r>
    </w:p>
    <w:p>
      <w:r>
        <w:t>Auf die Beschwerde ist wegen Verletzung der gesetzlichen Begründungspflicht nicht einzutreten. Ausnahmsweise kann auf die Erhebung von 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