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54/2013 vom 3. April 2013</w:t>
      </w:r>
    </w:p>
    <w:p>
      <w:r>
        <w:t>Bundesgericht, 2013-04-03, DE</w:t>
      </w:r>
    </w:p>
    <w:p>
      <w:r>
        <w:rPr>
          <w:b/>
        </w:rPr>
        <w:t xml:space="preserve">Quelle: </w:t>
      </w:r>
      <w:r>
        <w:t>https://mcp.opencaselaw.ch/entscheid/bger_1C_54_2013</w:t>
      </w:r>
    </w:p>
    <w:p>
      <w:r>
        <w:t>FR: TF 1C 54/2013 du 3 avril 2013</w:t>
      </w:r>
    </w:p>
    <w:p>
      <w:r>
        <w:t>IT: TF 1C 54/2013 del 3 aprile 2013</w:t>
      </w:r>
    </w:p>
    <w:p>
      <w:pPr>
        <w:pStyle w:val="Heading2"/>
      </w:pPr>
      <w:r>
        <w:t>Regeste</w:t>
      </w:r>
    </w:p>
    <w:p>
      <w:r>
        <w:t>Nichtigerklärung erleichterte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einzutreten.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165; 130 II 482 E. 2 S. 484).</w:t>
      </w:r>
    </w:p>
    <w:p>
      <w:r>
        <w:rPr>
          <w:b/>
        </w:rPr>
        <w:t>E. 2.2</w:t>
      </w:r>
    </w:p>
    <w:p>
      <w:r>
        <w:t>Nach Art. 41 Abs. 1 BüG (in der hier anwendbaren, bis Ende Februar 2011 geltenden Fassung) kann die Einbürgerung vom BFM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der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3.1</w:t>
      </w:r>
    </w:p>
    <w:p>
      <w:r>
        <w:t>Der angefochtene Entscheid geht von folgendem, unbestrittenem Sachverhalt aus: Der Beschwerdeführer reiste zweimal als Asylbewerber in die Schweiz ein und wurde, nach erfolglos verlaufenen Asylverfahren, 1991 und 1997 wieder ausgeschafft. 1997 reiste er mit einer spanischen Freundin wiederum in die Schweiz ein; ob er mit ihr rechtsgültig verheiratet war und welchen Aufenthaltsstatus er in der Schweiz hatte, ist nicht geklärt. 1999 oder 2000 lernte der Beschwerdeführer Y.________ kennen. Die beiden heirateten am 24. November 2000. Am 24. November 2003 stellte der Beschwerdeführer ein Gesuch um erleichterte Einbürgerung, welches am 10. Juni 2004 wegen nicht erfüllter gesetzlicher Erfordernisse (Steuerausstände, offene Betreibungen, eine ungelöschte Vorstrafe) als gegenstandslos abgeschrieben wurde. Am 18. Mai 2005 stellte der Beschwerdeführer ein zweites Gesuch um erleichterte Einbürgerung. Am 21. Januar 2006 unterzeichneten die Ehegatten gemeinsam die "Erklärung betreffend eheliche Gemeinschaft", worin beide bestätigten, in einer tatsächlichen, ungetrennten und stabilen ehelichen Gemeinschaft an derselben Adresse zusammenzuleben und keine Trennungs- oder Scheidungsabsichten zu hegen. Am 10. Februar 2006 wurde der Beschwerdeführer eingebürgert. Am 1. August 2006 hoben die Eheleute den gemeinsamen Haushalt auf. Am 13. April 2007 ermächtigte die Ehefrau ihren Anwalt zur Einleitung des Scheidungsverfahrens, welches am 16. Juni 2009 mit der Scheidung abgeschlossen wurde.</w:t>
      </w:r>
    </w:p>
    <w:p>
      <w:r>
        <w:rPr>
          <w:b/>
        </w:rPr>
        <w:t>E. 3.2</w:t>
      </w:r>
    </w:p>
    <w:p>
      <w:r>
        <w:t>Für das Bundesverwaltungsgericht (angefochtener Entscheid E. 7.2 S. 10 f.) begründet die Chronologie dieser Ereignisse - erleichterte Einbürgerung nach 5 ¼ Jahre Ehedauer, Trennung knapp 6 Monate später - die tatsächliche Vermutung, dass bereits im massgeblichen Zeitpunkt des Einbürgerungsverfahrens keine stabile, auf die Zukunft gerichtete eheliche Gemeinschaft mehr bestand und die Einbürgerung erschlichen wurde. Es kommt zudem zum Schluss, dass diese Vermutung durch die Vorbringen des Beschwerdeführers nicht erschüttert, sondern durch die Fakten - insbesondere die Angaben der Ehefrau, aber auch des Beschwerdeführers selber - zur Gewissheit verdichtet werde. Das Bundesverwaltungsgericht (angefochtener Entscheid E. 8 S. 11 ff.) hält für erstellt, dass zwischen den Eheleuten spätestens ab 2005 zunehmend starke Spannungen auftraten, vor allem wegen unterschiedlicher Vorstellungen über die Familienplanung - die Ehefrau wollte erst nach ihrer Weiterbildung Kinder, nach deren Abschluss wollte der Beschwerdeführer keine mehr -, über finanzielle Fragen - der Beschwerdeführer arbeitete über längere Zeit hinweg bloss sporadisch als Hilfsarbeiter, seine Frau warf ihm eine mangelnde Arbeitseinstellung vor, er strenge sich zu wenig an, um Arbeit zu finden und seinen Teil an den Unterhalt der Familie beizutragen - sowie Differenzen bei Fragen des Zusammenlebens - die Eheleute lebten zunehmend aneinander vorbei, verbrachten während des Einbürgerungsverfahrens die Ferien getrennt, besuchten an Weihnachten 2005 nicht wie sonst gemeinsam Verwandte und feierten Silvester 2005/2006 getrennt. Gestützt auf die Darstellung der Ehefrau im Scheidungsverfahren und einem Schreiben vom 19. Mai 2010 ans BFM geht das Bundesverwaltungsgericht zudem davon aus, dass sie dem Beschwerdeführer "nach nervenaufreibenden Verhaltensweisen" im Februar 2006 eröffnete, sie wolle sich scheiden lassen, um ihm im März 2006 doch noch "eine letzte Chance" einzuräumen.</w:t>
      </w:r>
    </w:p>
    <w:p>
      <w:r>
        <w:rPr>
          <w:b/>
        </w:rPr>
        <w:t>E. 3.3</w:t>
      </w:r>
    </w:p>
    <w:p>
      <w:r>
        <w:t>Der Beschwerdeführer bringt vor, er und seine Ehefrau hätten 2005 zwar durchaus Meinungsverschiedenheiten gehabt, welche aber den Fortbestand der Ehe nicht in Frage gestellt hätten. Seine Ehefrau habe dies im Schreiben vom 19. Mai 2010 ans BFM deutlich zum Ausdruck gebracht: "Mein Ex-Mann war mit der Situation zufrieden, ich nicht. Ich habe fast alles versucht, weil ich meinen Ex-Mann liebte. Ich habe meinem Ex-Mann im März 2006 noch eine letzte Chance gegeben, die er nicht genutzt hat". Er sei aus allen Wolken gefallen, als ihn seine Ehefrau im Sommer 2006 verlassen habe. Das Bundesverwaltungsgericht habe daher willkürlich angenommen, die Ehe sei bereits vor der gemeinsamen Abgabe der "Erklärung betreffend eheliche Gemeinschaft" zerrüttet bzw. zerstört gewesen. Wenn die Ehefrau dem Ehemann eine "letzte Chance" einräume, sein Verhalten zu ändern, um die Beziehung wieder ins Gleichgewicht zu bringen, so sei die Ehe in diesem Zeitpunkt nicht zerrüttet, sondern in einer überwindbaren Krise. Ihre Ehe sei jedenfalls im Januar 2006 noch intakt gewesen. Die Ehefrau habe zwar im Februar 2006 eine Scheidungsdrohung ausgestossen; auch dies sei kein Indiz dafür, dass die Ehe in diesem Zeitpunkt bereits zerrüttet gewesen sei. Eine Scheidungsdrohung könne man einsetzen, um den Partner zu einer Änderung von gewissen Verhaltensweisen zu bewegen, derartige Äusserungen dürfe man nicht auf die Goldwaage legen. Die Ehegatten hätten das BFM in ihrer gemeinsamen Erklärung vom 21. Januar 2006 daher keineswegs getäuscht.</w:t>
      </w:r>
    </w:p>
    <w:p>
      <w:r>
        <w:rPr>
          <w:b/>
        </w:rPr>
        <w:t>E. 3.4</w:t>
      </w:r>
    </w:p>
    <w:p>
      <w:r>
        <w:t>Diese Einwände überzeugen nicht. Nach den grundsätzlich unbestrittenen Sachverhaltsfeststellungen des Bundesverwaltungsgerichts haben sich der Beschwerdeführer und seine Ehefrau zumindest seit Anfang 2005 zunehmend auseinandergelebt und entfremdet. Wenn die Ehefrau darlegt, sie habe aus Liebe fast alles versucht, um die Ehe zu retten, so lässt dies darauf schliessen, dass sie die ehelichen Schwierigkeiten thematisiert und ihren Mann auf die aus ihrer Sicht bestehenden Missstände aufmerksam gemacht hat. Da sie versuchte, ihre Ehe zu retten, kann davon ausgegangen werden, dass sie ihm erst dann die Scheidung androhte, als ihn ihre wiederholten Bemühungen unbeeindruckt liessen. Das zeigt auch ihre Formulierung, sie habe ihm im März 2006 "eine letzte Chance" eingeräumt; auch daraus ergibt sich, dass sie ihn in der Vergangenheit bereits wiederholt, aber ohne Erfolg, aufgefordert hatte, sein Verhalten zu ändern, um eine erfolgreiche Fortsetzung der Ehe zu ermöglichen. Es ist denn auch weder dargetan noch ersichtlich, dass nach dem 21. Januar 2006 ein gravierenden Ereignis - z.B. ein Ehebruch oder eine eskalierte Auseinandersetzung - eingetreten wäre, das die zuvor intakte Ehe zerstört haben könnte. Insgesamt ergibt sich somit, dass die Ehe des Beschwerdeführers und seiner Frau über das ganze Jahr 2005 zunehmend Auflösungserscheinungen zeigte und sich am 21. Januar 2006 jedenfalls in einer schweren, existenzbedrohenden Krise befand. Dies konnte auch dem Beschwerdeführer nicht entgangen sein, auch wenn er versucht haben sollte, die schwelenden Probleme zu verdrängen. Ihre gemeinsame Erklärung, in einer stabilen, auf die Zukunft gerichteten Ehe zusammenzuleben und keine Trennungs- oder Scheidungsabsichten zu hegen, entsprach somit nicht den Tatsachen und war irreführend, die entsprechende Einschätzung des Bundesverwaltungsgerichts ist vertretbar. Die Rüge, die Vorinstanz habe den Sachverhalt unzutreffend festgestellt und Art. 41 BüG falsch angewandt, ist unbegründet.</w:t>
      </w:r>
    </w:p>
    <w:p>
      <w:r>
        <w:rPr>
          <w:b/>
        </w:rPr>
        <w:t>E. 4</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