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54/2011 vom 19. April 2011</w:t>
      </w:r>
    </w:p>
    <w:p>
      <w:r>
        <w:t>Bundesgericht, 2011-04-19, IT</w:t>
      </w:r>
    </w:p>
    <w:p>
      <w:r>
        <w:rPr>
          <w:b/>
        </w:rPr>
        <w:t xml:space="preserve">Quelle: </w:t>
      </w:r>
      <w:r>
        <w:t>https://mcp.opencaselaw.ch/entscheid/bger_1C_54_2011</w:t>
      </w:r>
    </w:p>
    <w:p>
      <w:r>
        <w:t>FR: TF 1C 54/2011 du 19 avril 2011</w:t>
      </w:r>
    </w:p>
    <w:p>
      <w:r>
        <w:t>IT: TF 1C 54/2011 del 19 aprile 2011</w:t>
      </w:r>
    </w:p>
    <w:p>
      <w:pPr>
        <w:pStyle w:val="Heading2"/>
      </w:pPr>
      <w:r>
        <w:t>Regeste</w:t>
      </w:r>
    </w:p>
    <w:p>
      <w:r>
        <w:t>licenza edilizia | Pianificazione territoriale e diritto pubblico edilizio</w:t>
      </w:r>
    </w:p>
    <w:p>
      <w:pPr>
        <w:pStyle w:val="Heading2"/>
      </w:pPr>
      <w:r>
        <w:t>Erwägungen</w:t>
      </w:r>
    </w:p>
    <w:p>
      <w:r>
        <w:rPr>
          <w:b/>
        </w:rPr>
        <w:t>E. 1</w:t>
      </w:r>
    </w:p>
    <w:p>
      <w:r>
        <w:t>Il Tribunale federale esamina d'ufficio e con piena cognizione la sua competenza (cfr. art. 29 cpv. 1 LTF ) e l'ammissibilità dei ricorsi ( DTF 136 II 497 consid. 3 e rinvii).</w:t>
      </w:r>
    </w:p>
    <w:p>
      <w:r>
        <w:rPr>
          <w:b/>
        </w:rPr>
        <w:t>E. 1.1</w:t>
      </w:r>
    </w:p>
    <w:p>
      <w:r>
        <w:t>Presentato tempestivamente dal proprietario dei fondi oggetto del contestato provvedimento e diretto contro una decisione pronunciata in una causa di diritto pubblico da un'autorità di ultima istanza cantonale, il ricorso in materia di diritto pubblico è di principio ammissibile sotto il profilo degli art. 82 lett. a, 86 cpv. 1 lett. d, 89 cpv. 1 e 100 cpv. 1 in relazione con l'art. 46 cpv. 1 lett. c LTF. Non vi è pertanto spazio per un ricorso sussidiario in materia costituzionale ( art. 113 LTF ).</w:t>
      </w:r>
    </w:p>
    <w:p>
      <w:r>
        <w:rPr>
          <w:b/>
        </w:rPr>
        <w:t>E. 1.2</w:t>
      </w:r>
    </w:p>
    <w:p>
      <w:r>
        <w:t>Problematica appare per contro la ricevibilità del ricorso rispetto ai requisiti posti dall' art. 93 cpv. 1 LTF , disposizione sulla quale il ricorrente non si esprime.</w:t>
      </w:r>
    </w:p>
    <w:p>
      <w:r>
        <w:rPr>
          <w:b/>
        </w:rPr>
        <w:t>E. 1.2.1</w:t>
      </w:r>
    </w:p>
    <w:p>
      <w:r>
        <w:t>Secondo detta norma, il ricorso contro una decisione incidentale è ammissibile se può causare un pregiudizio irreparabile (lett. a) o se l'accoglimento del ricorso comporterebbe immediatamente una decisione finale consentendo di evitare una procedura probatoria defatigante o dispendiosa (lett. b). Sono incidentali le decisioni che non pongono termine alla lite e riguardano soltanto una fase del procedimento, assumendo una funzione strumentale rispetto alla pronuncia destinata a concludere la vertenza; queste decisioni possono avere indifferentemente per oggetto una questione formale o materiale, giudicata anteriormente alla decisione finale ( DTF 133 V 477 consid. 4.1.3). Un pregiudizio è poi irreparabile nel senso dell' art. 93 cpv. 1 lett. a LTF quando è suscettibile di provocare un danno che una decisione favorevole nel merito non permetterebbe di eliminare completamente. Il semplice prolungamento della procedura o l'aumento dei costi collegati alla causa non basta di massima a fondare un simile pregiudizio ( DTF 136 II 165 consid. 1.2.1 e rinvii). Le condizioni di ammissibilità poste dall' art. 93 cpv. 1 LTF , il cui adempimento deve di principio essere dimostrato dal ricorrente ( DTF 134 III 426 consid. 1.2 in fine), mirano a sgravare il Tribunale federale, che di massima deve potersi esprimere sull'oggetto del litigio con un'unica decisione, evitando di pronunciarsi parzialmente, senza un esaustivo accertamento della fattispecie, nell'ambito di una prima fase della procedura. Se eventuali pregiudizi possono essere eliminati in modo adeguato anche nel contesto di un esame successivo all'emanazione del giudizio finale, questo Tribunale non entra quindi nel merito di impugnative contro decisioni pregiudiziali e incidentali ( DTF 135 II 30 consid. 1.3.2).</w:t>
      </w:r>
    </w:p>
    <w:p>
      <w:r>
        <w:rPr>
          <w:b/>
        </w:rPr>
        <w:t>E. 1.2.2</w:t>
      </w:r>
    </w:p>
    <w:p>
      <w:r>
        <w:t>In concreto, la Corte cantonale ha in sostanza parzialmente confermato la decisione del Municipio del 13 aprile 2010, segnatamente per quanto riguarda l'ordine di inoltrare una domanda di costruzione in sanatoria per il negozio installato senza permesso nelle serre. Riguardo al provvedimento cautelare della sospensione dell'attività di vendita, la Corte cantonale ha limitato l'ordine municipale ai prodotti non coltivati nel vivaio. Il ricorrente non contesta di per sé, tantomeno con una motivazione conforme agli art. 42 cpv. 2 e 106 cpv. 2 LTF, il provvedimento cautelare in quanto tale, contro il quale può essere fatta valere soltanto la violazione di diritti costituzionali ( art. 98 LTF ; cfr., sulle esigenze di motivazione, DTF 136 I 49 consid. 1.4.1 e rinvii). Egli contesta essenzialmente la necessità di presentare un'ulteriore domanda di costruzione per svolgere un'attività commerciale, legata in particolare alla vendita di prodotti coltivati altrove. Ora, il contestato ordine di inoltrare una domanda di costruzione in sanatoria non risolve di per sé il quesito determinante a cui è connesso, ovvero quello della compatibilità o meno dell'attività commerciale concretamente svolta nel vivaio per rapporto ai disposti pianificatori applicabili. Tale ordine implica unicamente l'esigenza di dare avvio ad una procedura formale che, con la collaborazione del proprietario, permetta di verificare compiutamente proprio gli aspetti di legittimità materiale dell'utilizzazione litigiosa, che si risolverà nel rilascio o nel diniego della licenza edilizia (sentenze 1P.717/2004 del 12 agosto 2005, consid. 1.2, in: RtiD I-2006 pag. 144 segg.; 1P.756/2006 del 23 gennaio 2007, consid. 1.4.2). Del resto, nel giudizio impugnato, la Corte cantonale si è limitata a confermare l'esigenza di inoltrare una domanda di costruzione, rilevando rettamente che la questione di sapere se le attività commerciali avviate dal ricorrente all'interno delle serre del vivaio potessero o meno essere autorizzate in sanatoria non doveva ancora essere esaminata in quella sede. Le argomentazioni di merito riguardanti la portata degli interventi e dell'attività svolta sui fondi interessati, comprese le censure riferite alla sussistenza stessa di un cambiamento di destinazione, potranno pertanto essere addotte dal ricorrente nell'ambito della procedura edilizia che verrà avviata con l'inoltro della domanda di costruzione (cfr. sentenza 1P.717/2004, citata, consid. 1.2.2).</w:t>
      </w:r>
    </w:p>
    <w:p>
      <w:r>
        <w:rPr>
          <w:b/>
        </w:rPr>
        <w:t>E. 1.2.3</w:t>
      </w:r>
    </w:p>
    <w:p>
      <w:r>
        <w:t>In tali circostanze, il gravame risulta quindi diretto contro una decisione di natura incidentale, che non appare suscettibile di cagionare un pregiudizio irreparabile ai sensi dell' art. 93 cpv. 1 lett. a LTF , non potendosi come visto ravvisare un simile danno nel prolungamento della procedura o nel suo conseguente maggior costo. Né il ricorrente subisce una limitazione della sua attività economica sulla base delle licenze edilizie finora rilasciate, non potendo per contro pretendere di svolgere attività non coperte dalla necessaria licenza edilizia. Quanto alla condizione dell' art. 93 cpv. 1 lett. b LTF , nella fattispecie essa non è manifestamente data. In mancanza di chiari accertamenti vincolanti sull'intervento edilizio e di una sua valutazione approfondita nell'ambito dell'esame della domanda di costruzione, un giudizio immediato da parte di questa Corte non entra infatti in considerazione (cfr. DTF 133 V 477 consid. 5.1). Contro un'eventuale decisione dell'ultima istanza cantonale, che dovesse negare definitivamente la licenza edilizia o comunque risultare sfavorevole al ricorrente, egli potrà se del caso riproporre le odierne censure nell'ambito di un nuovo ricorso al Tribunale federale (cfr. art. 93 cpv. 3 LTF ).</w:t>
      </w:r>
    </w:p>
    <w:p>
      <w:r>
        <w:rPr>
          <w:b/>
        </w:rPr>
        <w:t>E. 2</w:t>
      </w:r>
    </w:p>
    <w:p>
      <w:r>
        <w:t>Ne segue che il gravame deve essere dichiarato inammissibile.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