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549/2018 vom 10. Januar 2019</w:t>
      </w:r>
    </w:p>
    <w:p>
      <w:r>
        <w:t>Bundesgericht, 2019-01-10, DE</w:t>
      </w:r>
    </w:p>
    <w:p>
      <w:r>
        <w:rPr>
          <w:b/>
        </w:rPr>
        <w:t xml:space="preserve">Quelle: </w:t>
      </w:r>
      <w:r>
        <w:t>https://mcp.opencaselaw.ch/entscheid/bger_1C_549_2018</w:t>
      </w:r>
    </w:p>
    <w:p>
      <w:r>
        <w:t>FR: TF 1C 549/2018 du 10 janvier 2019</w:t>
      </w:r>
    </w:p>
    <w:p>
      <w:r>
        <w:t>IT: TF 1C 549/2018 del 10 gennaio 2019</w:t>
      </w:r>
    </w:p>
    <w:p>
      <w:pPr>
        <w:pStyle w:val="Heading2"/>
      </w:pPr>
      <w:r>
        <w:t>Regeste</w:t>
      </w:r>
    </w:p>
    <w:p>
      <w:r>
        <w:t>Organisationsreglement des Appellationsgerichts, Änderung vom 30. August 2018 | Verwaltungsverfahren</w:t>
      </w:r>
    </w:p>
    <w:p>
      <w:pPr>
        <w:pStyle w:val="Heading2"/>
      </w:pPr>
      <w:r>
        <w:t>Erwägungen</w:t>
      </w:r>
    </w:p>
    <w:p>
      <w:r>
        <w:rPr>
          <w:b/>
        </w:rPr>
        <w:t>E. 1</w:t>
      </w:r>
    </w:p>
    <w:p>
      <w:r>
        <w:t>Das Bundesgericht hat sich im Urteil 1C_187/2017 vom 20. März 2018 mit einer Beschwerde desselben Beschwerdeführers gegen das Organisationsreglement vom 16. Dezember 2016 des Strafgerichts des Kantons Basel-Stadt befasst. Auf die dortigen Erwägungen zu den Sachurteilsvoraussetzungen kann verwiesen werden (a.a.O., E. 2). Auch im vorliegenden Fall ist auf die Beschwerde grundsätzlich einzutreten.</w:t>
      </w:r>
    </w:p>
    <w:p>
      <w:r>
        <w:rPr>
          <w:b/>
        </w:rPr>
        <w:t>E. 2.1</w:t>
      </w:r>
    </w:p>
    <w:p>
      <w:r>
        <w:t>Der Beschwerdeführer kritisiert, dem Appellationsgericht sei es nicht gelungen, die Konsequenzen aus dem Urteil des Bundesgerichts vom 20. März 2018 zu ziehen. Während das Reglement des Strafgerichts eine Eröffnung der Entscheide zur Spruchkörperbesetzung vorsehe, entbinde sich das Appellationsgericht in verfassungswidriger Weise von dieser Pflicht. Damit würden die hehren Gründe der Spruchkörperbesetzung unüberprüfbar.</w:t>
      </w:r>
    </w:p>
    <w:p>
      <w:r>
        <w:rPr>
          <w:b/>
        </w:rPr>
        <w:t>E. 2.2</w:t>
      </w:r>
    </w:p>
    <w:p>
      <w:r>
        <w:t>Nach der konstanten Rechtsprechung des Bundesgerichts besteht weder eine verfassungs- noch eine völkerrechtliche Verpflichtung, den Verfahrensparteien die Namen der entscheidenden Richter vorab mitzuteilen ( BGE 144 I 37 E. 2.3.3 S. 43 mit Hinweisen). Dies wurde dem Beschwerdeführer im erwähnten, ihn betreffenden Urteil vom 20. März 2018 bereits dargelegt (a.a.O., E. 3.2 mit Hinweisen). Seine Rüge ist aus diesem Grund unbegründet.</w:t>
      </w:r>
    </w:p>
    <w:p>
      <w:r>
        <w:rPr>
          <w:b/>
        </w:rPr>
        <w:t>E. 2.3</w:t>
      </w:r>
    </w:p>
    <w:p>
      <w:r>
        <w:t>Der Beschwerdeführer kritisiert darüber hinaus in verschiedener Hinsicht die Praxis der Spruchkörperbesetzungen am Appellationsgericht, ohne jedoch einen Zusammenhang mit dem vorliegenden Verfahrensgegenstand aufzuzeigen. Darauf ist nicht einzutreten ( Art. 42 Abs. 2 BGG ).</w:t>
      </w:r>
    </w:p>
    <w:p>
      <w:r>
        <w:rPr>
          <w:b/>
        </w:rPr>
        <w:t>E. 3</w:t>
      </w:r>
    </w:p>
    <w:p>
      <w:r>
        <w:t>Die Beschwerde ist abzuweisen, soweit darauf einzutreten ist. 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