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1C_549/2011 vom 8. Dezember 2011</w:t>
      </w:r>
    </w:p>
    <w:p>
      <w:r>
        <w:t>Bundesgericht, 2011-12-08, DE</w:t>
      </w:r>
    </w:p>
    <w:p>
      <w:r>
        <w:rPr>
          <w:b/>
        </w:rPr>
        <w:t xml:space="preserve">Quelle: </w:t>
      </w:r>
      <w:r>
        <w:t>https://mcp.opencaselaw.ch/entscheid/bger_1C_549_2011</w:t>
      </w:r>
    </w:p>
    <w:p>
      <w:r>
        <w:t>FR: TF 1C_549/2011 du 8 décembre 2011</w:t>
      </w:r>
    </w:p>
    <w:p>
      <w:r>
        <w:t>IT: TF 1C_549/2011 del 8 dicembre 2011</w:t>
      </w:r>
    </w:p>
    <w:p>
      <w:pPr>
        <w:pStyle w:val="Heading2"/>
      </w:pPr>
      <w:r>
        <w:t>Erwägungen</w:t>
      </w:r>
    </w:p>
    <w:p>
      <w:r>
        <w:rPr>
          <w:b/>
        </w:rPr>
        <w:t>E. 1</w:t>
      </w:r>
    </w:p>
    <w:p>
      <w:r>
        <w:t>Das Bundesgericht behandelt Beschwerden in öffentlich-rechtlichen Angelegenheiten im Sinne von Art. 82 lit. c BGG , die sich gegen letztinstanzliche kantonale Entscheide im Zusammenhang mit der Wahl von Ständeräten richten ( Art. 88 BGG ). Die Beschwerdebefugnis steht den in der betreffenden Angelegenheit stimm- und wahlberechtigten Personen zu ( Art. 89 Abs. 3 BGG ). In der Beschwerdebegründung ist darzulegen, inwiefern der angefochtene Entscheid Recht verletzt ( Art. 42 Abs. 2 BGG ); die Verletzung von Grundrechten ist zu rügen und zu begründen ( Art. 106 Abs. 2 BGG ).</w:t>
      </w:r>
    </w:p>
    <w:p>
      <w:r>
        <w:rPr>
          <w:b/>
        </w:rPr>
        <w:t>E. 2</w:t>
      </w:r>
    </w:p>
    <w:p>
      <w:r>
        <w:t>Der Beschwerdeführer ficht den Entscheid des Verwaltungsgerichts an, mit dem auf seine Beschwerde nicht eingetreten worden ist. Zur Begründung hinsichtlich der Zuständigkeit des Verwaltungsgerichts führt er einzig an, "dass die komplexen Zuständigkeitsfragen im Zusammenhang mit Unregelmässigkeiten im Vorfeld von Wahlen der Kantonsbehörden im Kanton Schwyz für einen Laien eine derartige Zumutung bedeuten, dass die Frage der Rechtsweggarantie (nach Art. 29a BV ) fast zur Farce verkommt." Er setzt sich in keiner Weise mit der Begründung des Verwaltungsgerichts und dessen Hinweisen auf § 44 Abs. 1 KV/SZ , § 51 der Verordnung über die Verwaltungsrechtspflege (VRG) sowie § 53 und 53a des Gesetzes über Wahlen und Abstimmungen (WAG) auseinander. Er legt auch nicht dar, inwiefern er seine Beschwerde mit Blick auf § 56 Abs. 2 lit. b VRG und § 53a Abs. 2 WAG rechtzeitig erhoben hätte.</w:t>
      </w:r>
    </w:p>
    <w:p>
      <w:r>
        <w:t>Damit genügt die Beschwerde den genannten Begründungsanforderungen nicht. Bei dieser Sachlage ist auf die Beschwerde im Verfahren nach Art. 108 BGG nicht einzutreten.</w:t>
      </w:r>
    </w:p>
    <w:p>
      <w:r>
        <w:rPr>
          <w:b/>
        </w:rPr>
        <w:t>E. 3</w:t>
      </w:r>
    </w:p>
    <w:p>
      <w:r>
        <w:t>Der Beschwerdeschrift könnte entnommen werden, der Beschwerdeführer wolle direkt beim Bundesgericht Beschwerde erheben für den Fall, dass der Kantonsrat die überwiesene Eingabe nicht behandeln würde.</w:t>
      </w:r>
    </w:p>
    <w:p>
      <w:r>
        <w:t>Nach Art. 88 Abs. 2 BGG kann das kantonale Recht einen kantonalen Rechtsmittelweg in Bezug auf Akte des Parlaments und der Regierung ausschliessen. Diesfalls steht die Stimmrechtsbeschwerde direkt an das Bundesgericht offen. Für den vorliegenden Fall wurden die Vorschläge für den zweiten Wahlgang am 28. Oktober 2011 publiziert. Nachdem der Beschwerdeführer den Mangel der fehlenden Unterschriften-Beglaubigung nach seinen eigenen Angaben am 28. Oktober 2011 festgestellt hatte, hätte er demnach im Anschluss daran beim Bundesgericht innert der 30-tägigen Frist von Art. 100 Abs. 1 BGG Beschwerde erheben müssen (vgl. zur Fristeinhaltung Urteil 1C_217/2008 vom 3. Dezember 2008 E. 1.2, in ZBl 111/2010 S. 162). Diese Frist ist mit der vorliegenden Beschwerde nicht eingehalten.</w:t>
      </w:r>
    </w:p>
    <w:p>
      <w:r>
        <w:t>Auch in dieser Hinsicht ist auf die Beschwerde im Verfahren nach Art. 108 BGG nicht einzutreten.</w:t>
      </w:r>
    </w:p>
    <w:p>
      <w:r>
        <w:rPr>
          <w:b/>
        </w:rPr>
        <w:t>E. 4</w:t>
      </w:r>
    </w:p>
    <w:p>
      <w:r>
        <w:t>Mit dem Entscheid in der Sache selbst werden die Ersuchen um vorsorgliche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