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548/2009 vom 24. Februar 2010</w:t>
      </w:r>
    </w:p>
    <w:p>
      <w:r>
        <w:t>Bundesgericht, 2010-02-24, FR</w:t>
      </w:r>
    </w:p>
    <w:p>
      <w:r>
        <w:rPr>
          <w:b/>
        </w:rPr>
        <w:t xml:space="preserve">Quelle: </w:t>
      </w:r>
      <w:r>
        <w:t>https://mcp.opencaselaw.ch/entscheid/bger_1C_548_2009</w:t>
      </w:r>
    </w:p>
    <w:p>
      <w:r>
        <w:t>FR: TF 1C 548/2009 du 24 février 2010</w:t>
      </w:r>
    </w:p>
    <w:p>
      <w:r>
        <w:t>IT: TF 1C 548/2009 del 24 febbraio 2010</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qui émane du Tribunal administratif fédéral et concerne l'annulation de la naturalisation facilitée accordée au recourant,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Au début de son écriture, le recourant indique que son recours est notamment formé pour établissement inexact des faits au sens de l' art. 97 al. 1 LTF . Il ne dit toutefois pas quels faits retenus dans l'arrêt attaqué seraient erronés, ni quels éléments déterminants le Tribunal administratif fédéral aurait éventuellement oublié de mentionner. Dans ces conditions, le Tribunal fédéral est lié par les faits établis par l'autorité précédente conformément à l' art. 105 al. 1 LTF . Au demeurant, il apparaît que le recourant critique plutôt l'appréciation juridique des faits et soulève ainsi une question de droit que le Tribunal fédéral examine en l'espèce librement (cf. art. 106 al. 2 LTF ).</w:t>
      </w:r>
    </w:p>
    <w:p>
      <w:r>
        <w:rPr>
          <w:b/>
        </w:rPr>
        <w:t>E. 3</w:t>
      </w:r>
    </w:p>
    <w:p>
      <w:r>
        <w:t>Conformément aux art. 41 al. 1 de la loi fédérale du 29 septembre 1952 sur l'acquisition et la perte de la nationalité suisse (LN; RS 141.0)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3.1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3.2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4.1</w:t>
      </w:r>
    </w:p>
    <w:p>
      <w:r>
        <w:t>En l'espèce, le Tribunal administratif fédéral a estimé que l'enchaînement rapide des faits ainsi que le court laps de temps entre l'octroi de la naturalisation facilitée (7 octobre 2003) et la séparation du couple (fin 2004) était de nature à fonder la présomption que la naturalisation avait été obtenue de manière frauduleuse et que le couple n'envisageait déjà plus une vie future partagée lors de la signature de la déclaration de vie commune. Cette conviction était renforcée par plusieurs autres éléments, à savoir le statut précaire du recourant sur le plan administratif lors de son mariage, les premières difficultés conjugales apparues en 2002 ainsi que l'absence d'activités ou de loisirs communs. Le recourant allègue que sa situation administrative avant le mariage n'était pas déterminante, puisqu'il faisait déjà ménage commun avec sa future épouse depuis plus d'une année et demie et qu'il n'avait pas d'informations sûres qu'il devait quitter la Suisse. Cette question peut rester indécise, puisqu'il n'est de toute façon pas contesté que les époux A.________ et B.________ se sont mariés dans le but premier de fonder une communauté conjugale. Autre est la question de savoir si, au moment de la déclaration commune du 2 septembre 2003 et du prononcé de la naturalisation facilitée, le lien matrimonial était toujours stable et effectif. Le recourant maintient que tel était le cas, les premières difficultés n'étant survenues qu'à partir de la fin 2004. L'Office fédéral ainsi que le Tribunal administratif fédéral ont toutefois retenu que le couple était sujet à des difficultés bien avant la séparation de 2004, soit en tout cas dès que B.________ a entrepris une formation à Thoune, et qu'à cet éloignement s'ajoutaient d'autres difficultés (notamment d'ordre financier et du fait de l'absence d'activités communes). L'intéressée a en effet affirmé que les problèmes conjugaux avaient commencé dès le début de sa formation à l'école hôtelière en 2002 et que même si, à l'époque, elle croyait que son mariage durerait toujours, la situation a rapidement changé lorsqu'elle a commencé ladite formation, au point que le couple s'était séparé à la fin de l'année 2004. Le recourant a aussi reconnu que la séparation avait été provoquée non seulement par des motifs financiers, mais aussi du fait que l'épouse était souvent éloignée en raison de sa formation, qui s'est étendue de 2002 à 2004. Dans son écriture, le recourant insiste toutefois sur le fait que son ex-épouse n'a jamais entrepris une quelconque procédure matrimoniale avant 2007; elle aurait même admis que ce n'est qu'à partir de septembre 2006 qu'il y aurait eu des discussions concrètes concernant une séparation, preuve que même si elle considérait qu'il y avait des difficultés conjugales avant cette date, celles-ci étaient certainement peu importantes. On peut cependant relever à cet égard que la formation de B.________ à Thoune, et donc son éloignement, ont pris fin en 2004, ce qui n'a néanmoins pas permis aux époux de se rapprocher et de régler leurs différends. C'est au contraire à ce moment-là qu'ils ont pris la décision de se séparer et ils ne se sont plus remis ensemble jusqu'à la dissolution de leur mariage. Par ailleurs, en 2006, les conjoints étaient séparés depuis deux ans déjà et il est peu probable qu'ils envisageaient encore de reprendre la vie conjugale; il ressort en effet du dossier que B.________ a rencontré son futur époux en 2006 et que le recourant s'est mis en ménage avec sa future épouse en avril 2007. C'est donc en vain que le recourant soutient que la requête de divorce, déposée seulement en mai 2007, serait une preuve, ou à tout le moins une présomption, qu'auparavant le lien conjugal n'était pas détruit et qu'une possibilité de reprise de la vie commune existait toujours. S'agissant des vacances communes, le recourant allègue qu'il est allé avec son épouse à Appenzell, à Ascona et en Autriche durant leur vie commune et que le couple n'est pas parti dans son pays d'origine en raison de la guerre. Ceci n'empêche que les époux n'avaient pas d'activités ou de loisirs communs et que, à part les quelques occasions mentionnées par le recourant, ils ne partaient jamais en vacances ensemble et ne partageaient que rarement leur temps libre. Il résulte de ce qui précède que les éléments retenus par le Tribunal administratif fédéral sont propres à fonder la présomption que la naturalisation du recourant a été obtenue frauduleusement. Les déclarations écrites des tiers concernant l'harmonie du couple ne permettent pas d'affaiblir ladite présomption.</w:t>
      </w:r>
    </w:p>
    <w:p>
      <w:r>
        <w:rPr>
          <w:b/>
        </w:rPr>
        <w:t>E. 4.2</w:t>
      </w:r>
    </w:p>
    <w:p>
      <w:r>
        <w:t>Selon la jurisprudence précitée, il incombait dès lors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Pour expliquer les motifs de la désunion, le recourant se contente d'alléguer que "ce qui leur était arrivé arrive à beaucoup de couples, à savoir que tout à coup une désunion s'installe et que l'un des deux souhaite se séparer". Il ne s'agit manifestement pas d'un événement extraordinaire, qui serait survenu de manière inattendue et subite, précisément une année après l'obtention de la nationalité suisse.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entrecoupés de tentatives de réconciliation (cf. arrêt 5A.11/2006 du 27 juin 2006 consid. 4.1 et arrêt 5A.18/2003 du 19 novembre 2003 consid. 2.2). D'ailleurs, comme il a été relevé au considérant précédent, les difficultés conjugales sont apparues dès le début de la formation de B.________ à l'école hôtelière en 2002, soit près d'une année et demie avant l'octroi de la naturalisation facilitée. Dans ces circonstances, il apparaît que le recourant n'a pas réussi à rendre vraisemblable la survenance d'un événement extraordinaire susceptible d'expliquer une dégradation aussi rapide du lien conjugal et que les éléments avancés ne permettent pas de renverser la présomption établie. En particulier, sa bonne intégration n'est pas pertinente pour déterminer si la naturalisation a été obtenue de façon frauduleuse ou non. Il en découle que les conditions d'application de l' art. 41 LN sont remplies et que le Tribunal administratif fédéral n'a pas abusé de son pouvoir d'appréciation en confirmant l'annulation de la naturalisation facilité octroyée au recourant.</w:t>
      </w:r>
    </w:p>
    <w:p>
      <w:r>
        <w:rPr>
          <w:b/>
        </w:rPr>
        <w:t>E. 5</w:t>
      </w:r>
    </w:p>
    <w:p>
      <w:r>
        <w:t>Les considérants qui précèdent conduisent au rejet du recours.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