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546/2015 vom 23. Juni 2016</w:t>
      </w:r>
    </w:p>
    <w:p>
      <w:r>
        <w:t>Bundesgericht, 2016-06-23, FR</w:t>
      </w:r>
    </w:p>
    <w:p>
      <w:r>
        <w:rPr>
          <w:b/>
        </w:rPr>
        <w:t xml:space="preserve">Quelle: </w:t>
      </w:r>
      <w:r>
        <w:t>https://mcp.opencaselaw.ch/entscheid/bger_1C_546_2015</w:t>
      </w:r>
    </w:p>
    <w:p>
      <w:r>
        <w:t>FR: TF 1C 546/2015 du 23 juin 2016</w:t>
      </w:r>
    </w:p>
    <w:p>
      <w:r>
        <w:t>IT: TF 1C 546/2015 del 23 giugno 2016</w:t>
      </w:r>
    </w:p>
    <w:p>
      <w:pPr>
        <w:pStyle w:val="Heading2"/>
      </w:pPr>
      <w:r>
        <w:t>Regeste</w:t>
      </w:r>
    </w:p>
    <w:p>
      <w:r>
        <w:t>permis de construire, art. 75b Cst. | Aménagement du territoire et droit public des constructions</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La recourante, dont le permis de construire a été annulé en instance cantonale, a qualité pour contester ce prononcé ( art. 89 al. 1 LTF ).</w:t>
      </w:r>
    </w:p>
    <w:p>
      <w:r>
        <w:rPr>
          <w:b/>
        </w:rPr>
        <w:t>E. 2</w:t>
      </w:r>
    </w:p>
    <w:p>
      <w:r>
        <w:t>La recourante estime que sur le vu des éléments de fait retenus dans l'arrêt attaqué, il n'existerait pas d'indice d'un abus de droit. L'absence de personne intéressée à l'achat du projet pourrait s'expliquer par le fait que celui-ci n'est pas encore autorisé. Selon les déclarations de la commune, il n'y aurait pas de résidences principales inoccupées, le nombre de nouveaux arrivants étant de 355 pour les cinq dernières années, et on pourrait en attendre autant pour les cinq ans à venir. Les arguments relatifs au caractère aléatoire d'un achat, ainsi qu'à une opération de valorisation, seraient sans pertinence, de même que l'existence de places de stationnement non couvertes, le lieu étant accessible toute l'année. Helvetia Nostra considère que l'arrêt attaqué n'institue pas un renversement du fardeau de la preuve en matière d'abus de droit, mais exigerait des indices sérieux que l'affectation en résidence principale peut être respectée. Une telle vérification s'imposerait d'autant plus depuis l'entrée en vigueur de l'art. 14 al. 1 let. b de la loi fédérale sur les résidences secondaires (LRS, RS 702, entrée en vigueur le 1 er janvier 2016), qui permet de suspendre la restriction d'utilisation. Durant toute la procédure - soit depuis 2012 - la recourante n'aurait fourni aucune indication quant à un acheteur potentiel, ni quant au prix proposé. Compte tenu des départs, l'augmentation du nombre d'habitants dans la commune ne serait que de 67 de 2009 à fin 2014.</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Dans cette mesure, elle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 art. 7 al. 1 let. a LRS comporte une réglementation semblable. La nouvelle ORSec,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La doctrine confirme elle aussi l'application de ces principes dans le domaine du droit administratif (cf. MOOR/FLÜCKIGER/MARTENET, Droit administratif, vol. 1, 3 ème édition, Berne 2012, § 6.4.4 p. 932; HÄFELIN/MÜLLER/UHLMANN, Allgemeines Verwaltungsrecht, Zurich 2015, p. 162; TSCHANNEN/ZIMMERLI/MÜLLER, Allgemeines Verwaltungsrecht, 4 ème édition, Berne 2014, p. 182).</w:t>
      </w:r>
    </w:p>
    <w:p>
      <w:r>
        <w:rPr>
          <w:b/>
        </w:rPr>
        <w:t>E. 2.3</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d'emblée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2.4</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La jurisprudence rendue à propos de l' art. 75b Cst. n'a jamais encore retenu définitivement l'abus de droit. Dans ses arrêts rendus jusqu'à présent, le Tribunal fédéral l'a nié dans une majorité de cas et, dans les autres, a renvoyé le dossier pour instruction complémentaire (voir le résumé de jurisprudence dans l'arrêt 1C_159/2015 du 2 mai 2016 consid. 3, destiné à la publication). L'abus de droit a toujours été nié dans les cas concernant des logements uniques pour lesquels une utilisation comme résidence principale n'est pas exclue d'emblée (cf. en dernier lieu arrêt 1C_159/2015 du 2 mai 2016; arrêts 1C_542/2014 du 14 août 2015, 1C_348/2014 du 20 février 2015, 1C_916/2013 du 19 février 2015 et 1C_240/2014 du 24 octobre 2014).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w:t>
      </w:r>
    </w:p>
    <w:p>
      <w:r>
        <w:rPr>
          <w:b/>
        </w:rPr>
        <w:t>E. 2.5</w:t>
      </w:r>
    </w:p>
    <w:p>
      <w:r>
        <w:t>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déjà d'y recourir au moment de la demande d'autorisation de construire, en dépit des conditions restrictives posées par la loi. Cela impose que, dans les cas douteux impliquant un grand nombre de logements, la possibilité réelle d'utiliser les logements selon l'affectation prévue fasse l'objet de vérifications sérieuses. La procédure d'autorisation de construire et la police des constructions ont pour but la mise en oeuvre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LATC). Avant d'accorder le permis de construire, elle vérifie la conformité de tout projet avec les règles légales et les plans et les règlements d'affectation (art. 17 al. 3 LATC). Selon l'art. 104 al. 1 LATC, avant de délivrer le permis, elle s'assure que le projet est conforme aux dispositions légales et réglementaires et aux plans d'affectation légalisés ou en voie d'élaboration. Contrairement à ce que préconise Helvetia Nostra, il n'y a pas lieu d'assouplir la répartition du fardeau de la preuve dans ce domaine en exigeant du constructeur qu'il prouve d'emblée le respect de l'affectation prévue. En effet, selon les art. 2 al. 2 et 3 al. 1 CC, seul l'abus manifeste d'un droit doit être sanctionné, la bonne foi étant quant à elle présumée. Toutefois, il appartient à l'autorité chargée de la délivrance des permis de construire de s'assurer que les conditions posées pourront être respectées (arrêt 1C_159/2015, consid. 4.3). Lorsque le constructeur d'un unique logement entend l'utiliser lui-même comme résidence principale, la preuve d'une demande correspondante dans la commune ou le secteur en cause n'a en principe pas à être apportée (arrêt 1C_159/2015 consid. 3.2). En revanche, lorsque le logement est destiné à la vente ou à la location, il y a lieu de vérifier préalablement qu'il existe a priori une demande correspondante dans la commune concernée.</w:t>
      </w:r>
    </w:p>
    <w:p>
      <w:r>
        <w:rPr>
          <w:b/>
        </w:rPr>
        <w:t>E. 2.6</w:t>
      </w:r>
    </w:p>
    <w:p>
      <w:r>
        <w:t>En l'espèce, le permis contesté concerne la construction d'un chalet comprenant un seul logement de 148 m² de surface brute utile, réparti sur deux étages comprenant un séjour, cuisine et salle à manger (au rez) et deux chambres avec salle de bain (à l'étage). Il est situé dans une zone de chalets déjà construite destinée à l'habitation, à l'artisanat, au commerce, aux activités touristiques et à l'exploitation agricole (art. 15 du règlement communal sur le plan d'extension et la police des constructions). Le logement, de proportions modestes, se prête à une utilisation en tant que résidence principale, et il n'est pas contesté que l'accessibilité est garantie toute l'année, la parcelle se trouvant à proximité de la route du Pillon. L'absence de parking couvert relève de la simple commodité et ne constitue par un indice en défaveur d'une utilisation comme résidence principale. La commune d'Ormont-Dessus compte 1481 habitants à l'année (au 31 décembre 2015, source: site officiel de la commune ). Selon les indications de la municipalité, 355 nouveaux habitants se sont installés entre le 31 décembre 2008 et le 31 décembre 2013. Se référant à d'autres arrêts de la CDAP, Helvetia Nostra relève que du 1 er janvier 2009 au 31 décembre 2014, 457 nouveaux résidents sont arrivés alors que 390 sont partis, ce qui représenterait une augmentation de population de 67 personnes seulement. Si d'autres permis de construire ont également été accordés dans la même commune, il n'est nullement prétendu qu'il en résulterait une offre disproportionnée par rapport à la population résidente en légère augmentation, comme cela était le cas dans les arrêts 1C_159 et 160/2015. Dès lors, même si la recourante n'a pas encore trouvé d'acheteur, il n'en découle pas que la demande serait manifestement insuffisante pour une résidence principale dans la commune concernée, et que le bien en question demeurera invendu à terme. Dans le cadre d'un logement unique et d'une commune où il existe une certaine demande liée à l'augmentation du nombre d'habitants, il apparaîtrait disproportionné d'exiger systématiquement la production d'un contrat ou d'une promesse de vente avant même la construction de l'immeuble. Au demeurant, selon la jurisprudence, le constructeur supporte le risque de ne pouvoir utiliser le logement comme résidence principale (cf. arrêt 1C_114/2015 du 10 juillet 2015 consid. 4.2.2). Comme l'a déjà exprimé la commune devant l'instance précédente, le permis d'habiter ne sera accordé que si le futur propriétaire dépose ses papiers dans la commune. Dans ces conditions, un abus de droit manifeste ne saurait être retenu.</w:t>
      </w:r>
    </w:p>
    <w:p>
      <w:r>
        <w:rPr>
          <w:b/>
        </w:rPr>
        <w:t>E. 3</w:t>
      </w:r>
    </w:p>
    <w:p>
      <w:r>
        <w:t>Le recours doit par conséquent être admis. L'arrêt attaqué est annulé et la décision de la Municipalité d'Ormont-Dessus des 16 et 20 décembre 2013 délivrant le permis de construire est confirmée. Conformément aux art. 66 et 68 LTF , les frais judiciaires sont mis à la charge de l'intimée Helvetia Nostra qui succombe, de même que l'indemnité de dépens allouée à la recourante qui obtient gain de cause avec l'assistance d'un avocat. La cause est renvoyée à la CDAP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