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1C_545/2025 vom 29. September 2025</w:t>
      </w:r>
    </w:p>
    <w:p>
      <w:r>
        <w:t>Bundesgericht, 2025-09-29, DE</w:t>
      </w:r>
    </w:p>
    <w:p>
      <w:r>
        <w:rPr>
          <w:b/>
        </w:rPr>
        <w:t xml:space="preserve">Quelle: </w:t>
      </w:r>
      <w:r>
        <w:t>https://mcp.opencaselaw.ch/entscheid/bger_1C_545_2025</w:t>
      </w:r>
    </w:p>
    <w:p>
      <w:r>
        <w:t>FR: TF 1C_545/2025 du 29 septembre 2025</w:t>
      </w:r>
    </w:p>
    <w:p>
      <w:r>
        <w:t>IT: TF 1C_545/2025 del 29 settembre 2025</w:t>
      </w:r>
    </w:p>
    <w:p>
      <w:pPr>
        <w:pStyle w:val="Heading2"/>
      </w:pPr>
      <w:r>
        <w:t>Erwägungen</w:t>
      </w:r>
    </w:p>
    <w:p>
      <w:r>
        <w:rPr>
          <w:b/>
        </w:rPr>
        <w:t>E. 1</w:t>
      </w:r>
    </w:p>
    <w:p>
      <w:r>
        <w:t>A.________ war ab dem 1. Januar 1988 in unterschiedlichen Funktionen bei der Stadtpolizei Zürich angestellt, zuletzt als Mitarbeiter des Polizeilichen Assistenzdienstes (PAD). Am 16. Februar 2024 wurde das Arbeitsverhältnis fristlos aufgelöst, weil er im Rahmen eines Einsatzes am Weltwirtschaftsforum (WEF) in Davos eine Arbeitskollegin sexuell belästigt haben soll. Sein Gesuch um Neubeurteilung wies der Stadtrat Zürich am 15. März 2024 ab. Sein hiergegen erhobenen Rekurs wies der Bezirksrat Zürich am 5. Dezember 2024 ebenfalls ab.</w:t>
      </w:r>
    </w:p>
    <w:p>
      <w:r>
        <w:rPr>
          <w:b/>
        </w:rPr>
        <w:t>E. 2</w:t>
      </w:r>
    </w:p>
    <w:p>
      <w:r>
        <w:t>Gegen den Entscheid des Bezirksrats gelangte A.________ an das Verwaltungsgericht des Kantons Zürich. Mit Urteil vom 20. August 2025 wies das Gericht die Beschwerde ab und auferlegte A.________ die Gerichtskosten von Fr. 4'095.--.</w:t>
      </w:r>
    </w:p>
    <w:p>
      <w:r>
        <w:rPr>
          <w:b/>
        </w:rPr>
        <w:t>E. 3</w:t>
      </w:r>
    </w:p>
    <w:p>
      <w:r>
        <w:t>Mit Eingabe vom 24. September 2025 erhebt A.________ beim Bundesgericht Beschwerde gegen das Urteil des Verwaltungsgerichts.</w:t>
      </w:r>
    </w:p>
    <w:p>
      <w:r>
        <w:t>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einlässlich begründet, wieso die umstrittene fristlose Kündigung als rechtmässig zu beurteilen sei. Der Beschwerdeführer setzt sich mit den betreffenden Erwägungen nicht näher und sachgerecht auseinander und legt nicht und schon gar nicht konkret und im Einzelnen dar, inwiefern die Begründung der Vorinstanz bzw. deren Entscheid Recht im Sinne von Art. 42 Abs. 2 BGG verletzen soll. Insbesondere macht er weder ausdrücklich geltend, die Vorinstanz habe den Sachverhalt offensichtlich unrichtig im Sinne von Art. 97 Abs. 1 BGG festgestellt, noch zeigt er eine derartige Sachverhaltsfeststellung in der erwähnten Weise auf, obschon (namentlich) insofern qualifizierte Rüge- und Begründungsanforderungen bestehen. Seine im Wesentlichen appellatorischen Vorbringen genügen den gesetzlichen Formerfordernissen offensichtlich nicht, soweit sie nicht von vornherein an der Sache vorbeigehen, weshalb im vereinfachten Verfahren nach Art. 108 Abs. 1 BGG auf die Beschwerde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