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545/2016 vom 7. März 2017</w:t>
      </w:r>
    </w:p>
    <w:p>
      <w:r>
        <w:t>Bundesgericht, 2017-03-07, DE</w:t>
      </w:r>
    </w:p>
    <w:p>
      <w:r>
        <w:rPr>
          <w:b/>
        </w:rPr>
        <w:t xml:space="preserve">Quelle: </w:t>
      </w:r>
      <w:r>
        <w:t>https://mcp.opencaselaw.ch/entscheid/bger_1C_545_2016</w:t>
      </w:r>
    </w:p>
    <w:p>
      <w:r>
        <w:t>FR: TF 1C 545/2016 du 7 mars 2017</w:t>
      </w:r>
    </w:p>
    <w:p>
      <w:r>
        <w:t>IT: TF 1C 545/2016 del 7 marzo 2017</w:t>
      </w:r>
    </w:p>
    <w:p>
      <w:pPr>
        <w:pStyle w:val="Heading2"/>
      </w:pPr>
      <w:r>
        <w:t>Regeste</w:t>
      </w:r>
    </w:p>
    <w:p>
      <w:r>
        <w:t>Administrativmassnahmen des Strassenverkehrsrechts | Strassenbau und Strassenverkehr</w:t>
      </w:r>
    </w:p>
    <w:p>
      <w:pPr>
        <w:pStyle w:val="Heading2"/>
      </w:pPr>
      <w:r>
        <w:t>Erwägungen</w:t>
      </w:r>
    </w:p>
    <w:p>
      <w:r>
        <w:rPr>
          <w:b/>
        </w:rPr>
        <w:t>E. 1.1</w:t>
      </w:r>
    </w:p>
    <w:p>
      <w:r>
        <w:t>Angefochten ist ein kantonal letztinstanzlicher Endentscheid über eine Administrativmassnahme im Strassenverkehr. Dagegen steht die Beschwerde in öffentlich-rechtlichen Angelegenheiten zur Verfügung ( Art. 82 ff. BGG ).</w:t>
      </w:r>
    </w:p>
    <w:p>
      <w:r>
        <w:rPr>
          <w:b/>
        </w:rPr>
        <w:t>E. 1.2</w:t>
      </w:r>
    </w:p>
    <w:p>
      <w:r>
        <w:t>Angesichts des Umstands, dass dem Beschwerdeführer der Führerausweis während des hängigen Verfahrens erneut auf unbestimmte Zeit entzogen worden ist, besitzt er kein aktuelles praktisches Interesse mehr an der Aufhebung oder Abänderung des Urteils des Verwaltungsgerichts ( Art. 89 Abs. 1 lit. c BGG ). Daran ändert nichts, dass sich im neusten Verfahren möglicherweise wieder ähnliche oder gleiche Fragen stellen werden. Da auch keine Umstände vorliegen, die ein ausnahmsweises Absehen vom Erfordernis des aktuellen praktischen Interesses rechtfertigen, wird das Verfahren deshalb mit einzelrichterlichem Entscheid vom Geschäftsverzeichnis abgeschrieben ( Art. 32 Abs. 2 BGG ; vgl. BGE 137 I 120 E. 2.2 S. 123, 296 E. 4.3 S. 299 ff.; je mit Hinweisen).</w:t>
      </w:r>
    </w:p>
    <w:p>
      <w:r>
        <w:rPr>
          <w:b/>
        </w:rPr>
        <w:t>E. 2.1</w:t>
      </w:r>
    </w:p>
    <w:p>
      <w:r>
        <w:t>Erklärt das Bundesgericht einen Rechtsstreit als gegenstandslos, entscheidet es mit summarischer Begründung über die Prozesskosten aufgrund der Sachlage vor Eintritt des Erledigungsgrundes ( Art. 71 BGG in Verbindung mit Art. 72 BZP ). Bei der Beurteilung der Kosten- und Entschädigungsfolgen ist somit in erster Linie auf den mutmasslichen Ausgang des Prozesses abzustellen ( BGE 125 V 373 E. 2a S. 374 f. mit Hinweisen). Dabei geht es nicht darum, die Prozessaussichten im Einzelnen zu prüfen und dadurch weitere Umtriebe zu verursachen. Vielmehr muss es bei einer knappen Beurteilung der Aktenlage sein Bewenden haben. Auf dem Weg über den Kostenentscheid soll nicht ein materielles Urteil gefällt und unter Umständen der Entscheid in einer heiklen Rechtsfrage präjudiziert werden. Lässt sich der mutmassliche Ausgang eines Verfahrens im konkreten Fall nicht ohne Weiteres feststellen, ist auf allgemeine zivilprozessrechtliche Kriterien zurückzugreifen. Danach wird in erster Linie jene Partei kosten- und entschädigungspflichtig, die das gegenstandslos gewordene Verfahren veranlasst oder bei der die Gründe eingetreten sind, die zur Gegenstandslosigkeit des Verfahrens geführt haben (zum Ganzen: zur Publ. vorgesehenes Urteil 9C_160/2016 vom 19. August 2016 E. 8.2; Urteil 1B_325/2012 vom 7. August 2012 E. 3; je mit Hinweisen).</w:t>
      </w:r>
    </w:p>
    <w:p>
      <w:r>
        <w:rPr>
          <w:b/>
        </w:rPr>
        <w:t>E. 2.2</w:t>
      </w:r>
    </w:p>
    <w:p>
      <w:r>
        <w:t>Das Kantonsgericht hat den Sachverhalt nicht willkürlich festgestellt, indem es sich auf die Analysewerte des IRMZ stützte (vgl. BGE 140 II 334 E. 3 S. 338 mit Hinweis). Das IRMZ legte dar, dass sich Untersuchungen unterschiedlicher Zeitfenster und unterschiedlicher Haarlängen nicht miteinander vergleichen lassen, was die vom Beschwerdeführer beanstandeten unterschiedlichen Testergebnisse prima vista erklärt. Die bei den Haarproben des Beschwerdeführers ermittelten Werte weisen zum Teil auf einen übermässigen und zum Teil auf einen moderaten Alkoholkonsum hin. Das Strassenverkehrsamt hat diesem Umstand durch eine Wiedererteilung des Führerausweises nach kurzer Frist und eine entsprechende Ausgestaltung der Auflagen Rechnung getragen. Danach ist der Beschwerdeführer nicht zu einer Totalabstinenz verpflichtet, sondern darf moderat Alkohol konsumieren. Lediglich beim Führen eines Motorfahrzeugs gilt eine Nulltoleranz. Dies erscheint verhältnismässig. Unverhältnismässig erscheint unter den gegebenen Umständen jedoch, die Abstinenzkontrolle nicht mit einer zeitlichen Beschränkung zu versehen. Dies widerspricht auch dem verkehrsmedizinischen Gutachten des IRMZ vom 11. Mai 2016, worin ein Kontrollintervall als ausreichend angesehen wird. Aufgrund der Sachlage vor Eintritt des Erledigungsgrundes wäre die Beschwerde daher voraussichtlich teilweise gutzuheissen und der angefochtene Entscheid in Bezug auf die fehlende Befristung der Auflagen aufzuheben gewesen. Demnach sind dem Beschwerdeführer reduzierte Gerichtskosten aufzuerlegen ( Art. 66 Abs. 1 BGG ) und sind keine Parteikosten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