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1C_543/2019 vom 27. März 2020</w:t>
      </w:r>
    </w:p>
    <w:p>
      <w:r>
        <w:t>Bundesgericht, 2020-03-27, DE</w:t>
      </w:r>
    </w:p>
    <w:p>
      <w:r>
        <w:rPr>
          <w:b/>
        </w:rPr>
        <w:t xml:space="preserve">Quelle: </w:t>
      </w:r>
      <w:r>
        <w:t>https://mcp.opencaselaw.ch/entscheid/bger_1C_543_2019</w:t>
      </w:r>
    </w:p>
    <w:p>
      <w:r>
        <w:t>FR: TF 1C_543/2019 du 27 mars 2020</w:t>
      </w:r>
    </w:p>
    <w:p>
      <w:r>
        <w:t>IT: TF 1C_543/2019 del 27 marzo 2020</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Die übrigen Sachurteilsvoraussetzungen geben zu keinen Bemerkungen Anlass, weshalb grundsätzlich auf die Beschwerde einzutreten ist.</w:t>
      </w:r>
    </w:p>
    <w:p>
      <w:r>
        <w:rPr>
          <w:b/>
        </w:rPr>
        <w:t>E. 2</w:t>
      </w:r>
    </w:p>
    <w:p>
      <w:r>
        <w:t>Der Beschwerdeführer rügt vorab eine Verletzung seines Anspruchs auf rechtliches Gehör gemäss Art. 29 Abs. 2 BV . Er ist der Auffassung, die Vorinstanz habe seine Ausführungen absolut unzureichend behandelt, wenn nicht sogar gänzlich ignoriert. Diese Rüge ist unbegründet. Wie nachfolgend aufzuzeigen sein wird (vgl. E. 3 hiernach), hat sich die Vorinstanz mit den entscheidwesentlichen Vorbringen des Beschwerdeführers auseinandergesetzt und dargelegt, von welchen Überlegungen sie sich bei der Abweisung der Beschwerde hat leiten lassen (vgl. BGE 143 III 65 E. 5.2 S. 70 f. mit Hinweisen). Dem Beschwerdeführer war es denn auch ohne Weiteres möglich, den Entscheid sachgerecht anzufechten.</w:t>
      </w:r>
    </w:p>
    <w:p>
      <w:r>
        <w:rPr>
          <w:b/>
        </w:rPr>
        <w:t>E. 3.1</w:t>
      </w:r>
    </w:p>
    <w:p>
      <w:r>
        <w:t>Die Vorinstanz hat dargelegt, dass sie aufgrund der klaren Formulierung der Verfügung des Strassenverkehrsamts vom 1. September 2016, wonach dem Beschwerdeführer der Führerausweis vom 28. Februar 2017 bis zum 27. März 2017 entzogen sei, in Übereinstimmung mit der Sicherheitsdirektion davon ausgehe, es habe auf Seiten des Beschwerdeführers kein Sachverhaltsirrtum vorgelegen. Selbst wenn jedoch ein solcher vorgelegen hätte, wäre er vermeidbar gewesen. Folglich habe der Beschwerdeführer eine schwere Widerhandlung nach Art. 16c Abs. 1 lit. f SVG begangen.</w:t>
      </w:r>
    </w:p>
    <w:p>
      <w:r>
        <w:rPr>
          <w:b/>
        </w:rPr>
        <w:t>E. 3.2</w:t>
      </w:r>
    </w:p>
    <w:p>
      <w:r>
        <w:t>Dagegen wendet sich der Beschwerdeführer. Er bestreitet zwar nicht, am 17. März 2017 ohne Führerausweis ein Motorfahrzeug gelenkt zu haben. Er stellt sich aber auf den Standpunkt, es liege lediglich eine mittelschwere Widerhandlung im Sinne von Art. 16b Abs. 1 lit. c SVG vor. Zur Begründung führt er sinngemäss aus, er sei aufgrund eines Telefonats mit dem Strassenverkehrsamt davon ausgegangen, dass sein Führerausweis nicht als entzogen gegolten habe. Er habe sich folglich in einem Sachverhaltsirrtum befunden, was vom Bezirksgericht und von der Vorinstanz, welche sich dem Bezirksgericht unkritisch angeschlossen habe, praktisch unberücksichtigt geblieben sei.</w:t>
      </w:r>
    </w:p>
    <w:p>
      <w:r>
        <w:rPr>
          <w:b/>
        </w:rPr>
        <w:t>E. 3.3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1C_421/2019 vom 20. Dezember 2019 E. 3.1; je mit Hinweisen).</w:t>
      </w:r>
    </w:p>
    <w:p>
      <w:r>
        <w:rPr>
          <w:b/>
        </w:rPr>
        <w:t>E. 3.4</w:t>
      </w:r>
    </w:p>
    <w:p>
      <w:r>
        <w:t>Wie die Vorinstanz zutreffend erwog, sind vorliegend keine Umstände ersichtlich, weshalb vom strafrechtlichen Urteil des Bezirksgerichts vom 20. Oktober 2017 abzuweichen wäre. Das Bezirksgericht erachtete einen Sachverhaltsirrtum gemäss Art. 13 StGB als nicht gegeben. Es stufte die Ausführungen des Beschwerdeführers als Schutzbehauptungen ein. Dies ist nicht zu beanstanden.</w:t>
      </w:r>
    </w:p>
    <w:p>
      <w:r>
        <w:t>Das Vorbringen des Beschwerdeführers, das Strassenverkehrsamt habe ihm anlässlich eines nicht aktenkundigen Telefonats betreffend Abgabe des ungültigen Führerausweises angeblich widersprüchliche Auskünfte erteilt, weshalb er davon ausgegangen sei, der Entzug des Führerausweises sei trotz der gegenteilig lautenden Verfügung vom 1. September 2017 noch nicht in Kraft, überzeugt tatsächlich nicht. Es leuchtet nicht ein, weshalb die Abgabe eines gültigen Führerausweises dessen Entzug herbeiführen soll, während nach Ansicht des Beschwerdeführers ein ungültiger Ausweis den Entzug aufschieben sollte. Diesfalls wäre umso mehr davon auszugehen, dass kein Fahrzeug gelenkt werden darf. Daran ändert auch sein Einwand nichts, wonach er fest daran geglaubt habe, die mangelnde Abgabe eines gültigen Ausweises habe zur Verschiebung des Führerausweisentzugs geführt. Im Übrigen ist unabhängig davon nicht erheblich, ob das angebliche Telefonat tatsächlich für das Missverständnis beim Beschwerdeführer verantwortlich war; denn dieses wäre jedenfalls vermeidbar gewesen. Wie die Vorinstanz zu Recht festhielt, wäre der Beschwerdeführer nämlich verpflichtet gewesen, sich bei Unklarheiten erneut beim Strassenverkehrsamt zu erkundigen. Dies gilt umso mehr, als der Beschwerdeführer selbst einwendet, er sei der deutschen Sprache nicht "in vollem Umfang" mächtig und die Auskünfte hätten ihn ausserordentlich irritiert. Um allfällige Verständnisprobleme zu vermeiden, hätte er insbesondere auch einen Übersetzer beiziehen können und müssen. Wie die Vorinstanz zutreffend ausführte, geht aus der Verfügung des Strassenverkehrsamts vom 1. September 2016 klar hervor, dass dem Beschwerdeführer der Führerausweis vom 28. Februar 2017 bis zum 27. März 2017 entzogen ist. Dessen war sich der Beschwerdeführer nach dem Gesagten bewusst bzw. hätte er sich bei Anwendung der gebotenen Sorgfaltspflicht bewusst sein müssen.</w:t>
      </w:r>
    </w:p>
    <w:p>
      <w:r>
        <w:rPr>
          <w:b/>
        </w:rPr>
        <w:t>E. 3.5</w:t>
      </w:r>
    </w:p>
    <w:p>
      <w:r>
        <w:t>Entgegen der Behauptung des Beschwerdeführers liegt sodann ohnehin keine mittelschwere Widerhandlung gemäss Art. 16b Abs. 1 lit. c SVG vor. Ihm wird nicht vorgeworfen, ein Motorfahrzeug geführt zu haben, ohne den Führerausweis für die entsprechende Kategorie besessen zu haben, sondern, dass er trotz Ausweisentzug ein Motorfahrzeug gelenkt hat. Dieses Verhalten stellt gemäss der ausdrücklichen Normierung in Art. 16c Abs. 1 lit. f SVG eine schwere Widerhandlung dar.</w:t>
      </w:r>
    </w:p>
    <w:p>
      <w:r>
        <w:rPr>
          <w:b/>
        </w:rPr>
        <w:t>E. 3.6</w:t>
      </w:r>
    </w:p>
    <w:p>
      <w:r>
        <w:t>Soweit der Beschwerdeführer schliesslich Ausführungen zu seinem angeblichen Selbstunfall macht, aufgrund dessen ihm bereits am 21. Juli 2014 sein Führerausweis wegen einer mittelschweren Widerhandlung für einen Monat entzogen worden war, ist er von vornherein nicht zu hören. Diesen Ausweisentzug hat er nicht angefochten, weshalb seine diesbezüglichen Einwendungen verspätet sind.</w:t>
      </w:r>
    </w:p>
    <w:p>
      <w:r>
        <w:rPr>
          <w:b/>
        </w:rPr>
        <w:t>E. 4</w:t>
      </w:r>
    </w:p>
    <w:p>
      <w:r>
        <w:t>Nach einer schweren Widerhandlung wird der Lernfahr- oder Führerausweis für mindestens sechs Monate entzogen, wenn - wie vorliegend - in den vorangegangenen fünf Jahren der Ausweis bereits einmal wegen einer mittelschweren Widerhandlung entzogen war ( Art. 16c Abs. 2 lit. b SVG ). Gegenüber dem Beschwerdeführer wurde eine Entzugsdauer von sechs Monaten angeordnet. Dies entspricht der gesetzlichen Mindestentzugsdauer, die gemäss Art. 16 Abs. 3 Satz 2 SVG nicht unterschritten werden darf. Daran ändert auch die vom Beschwerdeführer geschilderte persönliche Situation nichts, insbesondere dass er aus beruflichen Gründen und aufgrund der stark eingeschränkten Bewegungsfreiheit seiner Frau, welche er zu ihren wöchentlichen Spitalbesuchen fahren müsse, auf den Führerausweis angewiesen sei. Die vom Beschwerdeführer vorgebrachte massive Belastung durch den sechsmonatigen Führerausweisentzug wird im Übrigen dadurch relativiert, dass er für die Zufahrt zu seinem Arbeitsort allenfalls einen Chauffeur engagieren kann (vgl. Urteil 1C_178/2018 vom 30. August 2018 E. 3.3 mit Hinweis), wie er dies angeblich ab dem 28. Februar 2017 bereits gemacht hat; dasselbe gilt für die Spitalbesuche seiner Frau. Die dadurch entstehenden Mehrkosten hat er sich selbst zuzuschreiben. Seiner Arbeit als Autohändler kann er sodann - zwar mit gewissen Einschränkungen - auch ohne Führerausweis nachgehen, dies im Gegensatz zu einem Berufschauffeur, bei welchem aber ebenfalls keine Ausnahme gemacht wird (vgl. Urteil 1C_312/2018 vom 30. Oktober 2018 E. 4). Folglich erweist sich die verfügte Entzugsdauer von sechs Monaten als rechts- und verhältnismässig.</w:t>
      </w:r>
    </w:p>
    <w:p>
      <w:r>
        <w:rPr>
          <w:b/>
        </w:rPr>
        <w:t>E. 5</w:t>
      </w:r>
    </w:p>
    <w:p>
      <w:r>
        <w:t>Die Beschwerde ist demnach abzuweisen, soweit darauf einzutreten ist. Bei diesem Verfahrensausgang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