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1C_543/2015 vom 25. Februar 2016</w:t>
      </w:r>
    </w:p>
    <w:p>
      <w:r>
        <w:t>Bundesgericht, 2016-02-25, FR</w:t>
      </w:r>
    </w:p>
    <w:p>
      <w:r>
        <w:rPr>
          <w:b/>
        </w:rPr>
        <w:t xml:space="preserve">Quelle: </w:t>
      </w:r>
      <w:r>
        <w:t>https://mcp.opencaselaw.ch/entscheid/bger_1C_543_2015</w:t>
      </w:r>
    </w:p>
    <w:p>
      <w:r>
        <w:t>FR: TF 1C_543/2015 du 25 février 2016</w:t>
      </w:r>
    </w:p>
    <w:p>
      <w:r>
        <w:t>IT: TF 1C_543/2015 del 25 febbraio 2016</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qualité pour recourir au sens de l' art. 89 al. 1 LTF et les conditions formelles de recevabilité sont remplies, de sorte qu'il y a lieu d'entrer en matière.</w:t>
      </w:r>
    </w:p>
    <w:p>
      <w:r>
        <w:rPr>
          <w:b/>
        </w:rPr>
        <w:t>E. 2</w:t>
      </w:r>
    </w:p>
    <w:p>
      <w:r>
        <w:t>Dans un premier moyen, le recourant se plaint d'une violation de son droit d'être entendu. Il fait grief à l'instance précédente d'avoir refusé de procéder à l'audition de son épouse ainsi que de la mère et du fils de cette dernière afin d'établir qu'au moment déterminant le couple était uni et stable. Il reproche également à l'autorité de ne pas avoir examiné et discuté les déclarations écrites des personnes précitées qu'il a produite en procédure.</w:t>
      </w:r>
    </w:p>
    <w:p>
      <w:r>
        <w:rPr>
          <w:b/>
        </w:rPr>
        <w:t>E. 2.1</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 sur la notion d'arbitraire, cf. ATF 140 I 201 consid. 6.1 p. 205; 132 I 13 consid. 5.1 p. 17). Il appartient au recourant de démontrer le caractère arbitraire par une argumentation répondant aux exigences de l' art. 42 al. 2 LTF , respectivement de l' art. 106 al. 2 LTF ( ATF 137 I 58 consid. 4.1.2 p. 62).</w:t>
      </w:r>
    </w:p>
    <w:p>
      <w:r>
        <w:rPr>
          <w:b/>
        </w:rPr>
        <w:t>E. 2.2</w:t>
      </w:r>
    </w:p>
    <w:p>
      <w:r>
        <w:t>En l'occurrence, l'instance précédente a estimé que les faits de la cause étaient suffisamment établis par les pièces figurant au dossier; elle a expliqué pour quelles raisons il n'y avait pas lieu de donner suite à la requête d'audition de témoins présentée par le recourant (son épouse ainsi que la mère et le fils de cette dernière). L'instance précédente, ayant procédé à l'examen anticipé des moyens de preuve demandés par le recourant, ce dernier devait démontrer, conformément aux exigences accrues de motivation rappelées ci-dessus, en quoi cette appréciation serait arbitraire. Or, le recourant se contente d'affirmer que l'instance précédente ne pouvait lui refuser l'administration de la contre-preuve et que ces moyens étaient de nature à établir qu'au moment déterminant le couple était uni et stable. Cette argumentation ne répond pas aux exigences accrues de motivation précitées, de sorte que sa critique est irrecevable. Le recourant se méprend en outre lorsqu'il affirme que l'instance précédente ne pouvait pas procéder à une appréciation anticipée des moyens de preuve.</w:t>
      </w:r>
    </w:p>
    <w:p>
      <w:r>
        <w:t>Au demeurant, comme relevé par l'instance précédente, la procédure de recours régie par la PA est en principe écrite; selon l' art. 14 PA , il n'est procédé à l'audition de témoins que si cette mesure paraît indispensable à l'établissement des faits de la cause. Or, le recourant a produit les déclarations écrites des témoins dont il a demandé l'audition. Il a ainsi été en mesure de verser au dossier tous les renseignements qu'il entendait fournir par lesdits témoins. Le recourant n'explique de plus pas ce que des commentaires oraux supplémentaires de ces personnes auraient apporté en plus dans la présente cause par rapport à leurs déclarations écrites; il ne démontre pas non plus en quoi des précisions supplémentaires de son épouse - qui a été entendue en janvier 2014 - seraient susceptibles de modifier l'appréciation de l'instance précédente. Enfin, il sied de relever qu'en considérant que les auditions de ces témoins n'étaient pas déterminantes en l'espèce, l'instance précédente a implicitement considéré qu'il en allait de même de leurs déclarations écrites censées attester que le couple ne connaissait pas de difficultés au moment de l'octroi de la naturalisation facilitée. Le grief tiré de la violation du droit d'être entendu doit donc être écarté.</w:t>
      </w:r>
    </w:p>
    <w:p>
      <w:r>
        <w:rPr>
          <w:b/>
        </w:rPr>
        <w:t>E. 3</w:t>
      </w:r>
    </w:p>
    <w:p>
      <w:r>
        <w:t>Le recourant se plaint ensuite d'une violation de l'art. 41 de la loi fédérale sur l'acquisition et la perte de la nationalité suisse du 29 septembre 1952 (LN; RS 141.0). Il invoque également une violation des art. 14 Cst. (droit au mariage et à la famille), 8 et 12 CEDH (droit au respect de la vie privée et familiale, et droit au mariage).</w:t>
      </w:r>
    </w:p>
    <w:p>
      <w:r>
        <w:rPr>
          <w:b/>
        </w:rPr>
        <w:t>E. 3.1</w:t>
      </w:r>
    </w:p>
    <w:p>
      <w:r>
        <w:t>Conformément à l' art. 41 al. 1 LN , l'ODM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 court laps de temps séparant la déclaration commune (le 28 décembre 2010), l'octroi de la naturalisation facilitée (le 8 février 2011) et la déclaration de départ (13 avril 2012) était de nature à fonder la présomption que cette naturalisation a été acquise au moyen de déclarations mensongères, respectivement en dissimulant des faits essentiels. Ces éléments et leur chronologie, en particulier la séparation effective du couple intervenue environ une année après l'octroi de la naturalisation, permettent effectivement de fonder la présomption que celle-ci avait été obtenue frauduleusement (cf. arrêt 1C_796/2013 du 13 mars 2014 consid. 3.2). C'est en vain que le recourant conteste, par le biais des art. 14 Cst. , 8 et 12 CEDH, ce mécanisme de présomption. Outre le fait que sa critique ne satisfait pas aux exigences accrues de motivation de l' art. 106 al. 2 LTF s'agissant de la violation des droits fondamentaux, ce mécanisme a été maintes fois confirmé par la jurisprudence.</w:t>
      </w:r>
    </w:p>
    <w:p>
      <w:r>
        <w:t>Par ailleurs, pour l'instance précédente, cette présomption était renforcée notamment par le fait que le recourant n'avait entrepris aucune procédure de mesure protectrice de l'union conjugale ou de tentative de conciliation et qu'il s'était rapidement accommodé de la rupture de son mariage: il avait ainsi entamé en décembre 2011 une nouvelle relation sentimentale - avec une femme de 38 ans plus jeune que son épouse - environ quatre mois après le début des difficultés dans son couple (qu'il a situé au plus tôt en août 2011) et avait quitté le domicile conjugal moins de cinq mois plus tard, soit en avril 2012, concevant un enfant adultérin avec sa nouvelle compagne seulement après quelques mois. L'instance précédente pouvait, sans violer le droit fédéral, prendre en compte ces éléments dans son appréciation.</w:t>
      </w:r>
    </w:p>
    <w:p>
      <w:r>
        <w:t>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3.3</w:t>
      </w:r>
    </w:p>
    <w:p>
      <w:r>
        <w:t>Le recourant se prévaut du fait que les époux ont tous deux affirmé que les difficultés du couple seraient survenues après la naturalisation vers la fin de l'année 2011. L'intéressé explique que l'origine de la séparation du couple résulterait de l'accumulation de plusieurs éléments (découverte des actes de défaut de biens de son épouse lorsqu'il aurait dû produire un extrait de ses poursuites pour un nouvel emploi; problèmes psychologiques et consultation d'un psychologue, etc.). Il invoque différents éléments qui établiraient la stabilité du couple au moment déterminant, tels la communication établie le 9 novembre 2010, les déclarations de son épouse et les attestations d'intimes du couple.</w:t>
      </w:r>
    </w:p>
    <w:p>
      <w:r>
        <w:t>Les explications du recourant ne sont toutefois pas convaincantes et ne permettent pas de renverser la présomption établie. L'instance précédente pouvait en effet, sans violer le droit fédéral, considérer qu'il était peu probable que l'intéressé n'ait découvert la situation financière obérée de son épouse qu'après six ans de mariage, celle-ci percevant l'aide sociale et n'exerçant aucune activité lucrative depuis une longue période. Au demeurant, le fait de découvrir des actes de défaut de biens, même d'une certaine ampleur, n'est pas de nature à expliquer la fin subite de la vie d'un couple marié depuis de nombreuses années, sauf à considérer que leur union n'était pas stable. Il sied par ailleurs de relever que son épouse n'a jamais évoqué les problèmes financiers comme cause de la séparation.</w:t>
      </w:r>
    </w:p>
    <w:p>
      <w:r>
        <w:t>Il apparaît en outre peu vraisemblable que les ex-époux, s'ils formaient réellement un couple effectif et stable, n'aient pas tenté d'une manière ou d'une autre de sauver leur union conjugale et qu'ils aient aussi rapidement accepté l'idée d'une séparation définitive; le recourant ayant de surcroît rapidement conçu un enfant avec sa nouvelle compagne. Il est donc peu plausible que le recourant n'ait découvert la dégradation de son couple qu'après l'obtention de la naturalisation facilitée. Il se prévaut à cet égard en vain du suivi psychologique entamé en décembre 2011. Comme relevé par l'instance précédente, ce suivi a commencé après le début de sa nouvelle relation amoureuse.</w:t>
      </w:r>
    </w:p>
    <w:p>
      <w:r>
        <w:t>Enfin, les témoignages écrits de tiers et de membres de la famille de l'épouse du recourant - censés attester que le couple ne connaissait pas de difficultés conjugales - n'apparaissent pas décisifs et ne permettent pas de démontrer l'existence d'une communauté conjugale effective et stable tournée vers l'avenir, du point de vue des époux, lors de l'octroi de la naturalisation facilitée.</w:t>
      </w:r>
    </w:p>
    <w:p>
      <w:r>
        <w:rPr>
          <w:b/>
        </w:rPr>
        <w:t>E. 3.4</w:t>
      </w:r>
    </w:p>
    <w:p>
      <w:r>
        <w:t>C'est ainsi sans violer le droit, en particulier l' art. 41 LN , que le Tribunal administratif fédéral a confirmé l'annulation de la naturalisation facilitée octroyée au recourant.</w:t>
      </w:r>
    </w:p>
    <w:p>
      <w:r>
        <w:rPr>
          <w:b/>
        </w:rPr>
        <w:t>E. 4</w:t>
      </w:r>
    </w:p>
    <w:p>
      <w:r>
        <w:t>Il s'ensuit que le recours est rejeté dans la mesure de sa recevabilité.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