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1C_543/2008 vom 8. Dezember 2008</w:t>
      </w:r>
    </w:p>
    <w:p>
      <w:r>
        <w:t>Bundesgericht, 2008-12-08, FR</w:t>
      </w:r>
    </w:p>
    <w:p>
      <w:r>
        <w:rPr>
          <w:b/>
        </w:rPr>
        <w:t xml:space="preserve">Quelle: </w:t>
      </w:r>
      <w:r>
        <w:t>https://mcp.opencaselaw.ch/entscheid/bger_1C_543_2008</w:t>
      </w:r>
    </w:p>
    <w:p>
      <w:r>
        <w:t>FR: TF 1C_543/2008 du 8 décembre 2008</w:t>
      </w:r>
    </w:p>
    <w:p>
      <w:r>
        <w:t>IT: TF 1C_543/2008 del 8 dicembre 2008</w:t>
      </w:r>
    </w:p>
    <w:p>
      <w:pPr>
        <w:pStyle w:val="Heading2"/>
      </w:pPr>
      <w:r>
        <w:t>Erwägungen</w:t>
      </w:r>
    </w:p>
    <w:p>
      <w:r>
        <w:rPr>
          <w:b/>
        </w:rPr>
        <w:t>E. 1</w:t>
      </w:r>
    </w:p>
    <w:p>
      <w:r>
        <w:t>La voie du recours en matière de droit public au sens de l' art. 82 let. a LTF est en principe ouverte contre une décision rendue, en dernière instance cantonale, dans une contestation relative à une autorisation de construire.</w:t>
      </w:r>
    </w:p>
    <w:p>
      <w:r>
        <w:rPr>
          <w:b/>
        </w:rPr>
        <w:t>E. 2</w:t>
      </w:r>
    </w:p>
    <w:p>
      <w:r>
        <w:t>Le Tribunal cantonal a admis les conclusions des recourants puisqu'il a entièrement annulé la décision du Conseil d'Etat ainsi que la décision de l'autorité administrative qui avait accordé une autorisation de démolir et une autorisation de construire. L'affaire n'a ainsi pas été renvoyée à une autorité inférieure avec des injonctions. En particulier, l'autorisation de démolir a été purement et simplement annulée, en raison du lien "indissociable" avec l'autorisation de construire. En d'autres termes, la décision contestée de la Commission cantonale des constructions ne déploie plus aucun effet juridique.</w:t>
      </w:r>
    </w:p>
    <w:p>
      <w:r>
        <w:t>Dans ces conditions, les recourants n'ont pas un intérêt actuel et pratique à l'annulation de l'arrêt attaqué. Cet intérêt est en principe exigé pour recourir au Tribunal fédéral car celui-ci doit se prononcer sur des questions concrètes et non pas théoriques ( ATF 131 I 153 consid. 1.2 p. 157; 127 III 429 consid. 1b p. 431). Dans leurs conclusions, les recourants ne demandent cependant pas l'annulation du dispositif de l'arrêt attaqué mais d'une partie de ses motifs, puisqu'ils critiquent des considérants où le projet litigieux a été, sur certains points non décisifs, jugé conforme au droit. Les recourants affirment que dans l'hypothèse où un nouveau projet serait autorisé, il ne leur serait plus loisible de contester une autorisation de démolir ni une dérogation à l'art. 106 ch. 5 RCCZ. Or on ne voit pas pourquoi de tels griefs ne pourraient pas alors être soumis au Tribunal fédéral, même si les autorités cantonales se bornaient, à ce propos, à renvoyer à l'argumentation développée dans les considérants de l'arrêt du 24 octobre 2008.</w:t>
      </w:r>
    </w:p>
    <w:p>
      <w:r>
        <w:t>Il s'ensuit que le recours doit être déclaré irrecevable, pour défaut d'intérêt actuel et pratique à l'annulation de la décision attaquée.</w:t>
      </w:r>
    </w:p>
    <w:p>
      <w:r>
        <w:rPr>
          <w:b/>
        </w:rPr>
        <w:t>E. 3</w:t>
      </w:r>
    </w:p>
    <w:p>
      <w:r>
        <w:t>Les frais judiciaires doivent être mis à la charge des recourants, qui succombent ( art. 65 al. 1 et art. 66 al. 1 LTF ). Il n'y a pas lieu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