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1C_541/2021 vom 9. November 2021</w:t>
      </w:r>
    </w:p>
    <w:p>
      <w:r>
        <w:t>Bundesgericht, 2021-11-09, DE</w:t>
      </w:r>
    </w:p>
    <w:p>
      <w:r>
        <w:rPr>
          <w:b/>
        </w:rPr>
        <w:t xml:space="preserve">Quelle: </w:t>
      </w:r>
      <w:r>
        <w:t>https://mcp.opencaselaw.ch/entscheid/bger_1C_541_2021</w:t>
      </w:r>
    </w:p>
    <w:p>
      <w:r>
        <w:t>FR: TF 1C_541/2021 du 9 novembre 2021</w:t>
      </w:r>
    </w:p>
    <w:p>
      <w:r>
        <w:t>IT: TF 1C_541/2021 del 9 novembre 2021</w:t>
      </w:r>
    </w:p>
    <w:p>
      <w:pPr>
        <w:pStyle w:val="Heading2"/>
      </w:pPr>
      <w:r>
        <w:t>Erwägungen</w:t>
      </w:r>
    </w:p>
    <w:p>
      <w:r>
        <w:rPr>
          <w:b/>
        </w:rPr>
        <w:t>E. 1</w:t>
      </w:r>
    </w:p>
    <w:p>
      <w:r>
        <w:t>A.________ erstattete am 9. März 2021 Strafanzeige gegen B.________, Friedensrichterin beim Friedensrichteramt Wallisellen, wegen vorsätzlichem "Amtsmissbrauch/Machtmissbrauch", vorsätzlicher "Amtswillkür/Fahrlassigkeit" sowie weiteren, von der Staatsanwaltschaft "noch zu vervollständigenden" Straftatbeständen. Die Staatsanwaltschaft Winterthur/Unterland überwies die Sache mit Verfügung vom 30. März 2021 an das Obergericht des Kantons Zürich zum Entscheid über die Ermächtigung zur Durchführung einer Strafuntersuchung.</w:t>
      </w:r>
    </w:p>
    <w:p>
      <w:r>
        <w:rPr>
          <w:b/>
        </w:rPr>
        <w:t>E. 2</w:t>
      </w:r>
    </w:p>
    <w:p>
      <w:r>
        <w:t>Die III. Strafkammer des Obergerichts des Kantons Zürich erteilte mit Beschluss vom 6. Juli 2021 der Staatsanwaltschaft die Ermächtigung zur Strafverfolgung nicht und wies das Gesuch um Bestellung eines unentgeltlichen Rechtsbeistandes ab. Zur Begründung führte sie zusammenfassend aus, dass kein Anfangsverdacht für ein strafbares Verhalten bestehe. Bezüglich dem erneuten Gesuch um Bestellung eines unentgeltlichen Rechtsbeistandes verwies sie auf die Begründung in der Verfügung vom 10. Mai 2021, mit welcher ein erstes Gesuch bereits abgewiesen worden war.</w:t>
      </w:r>
    </w:p>
    <w:p>
      <w:r>
        <w:rPr>
          <w:b/>
        </w:rPr>
        <w:t>E. 3</w:t>
      </w:r>
    </w:p>
    <w:p>
      <w:r>
        <w:t>A.________ führt mit Eingabe vom 14. September 2021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III. Strafkammer legte dar, weshalb sich aus den Akten kein Anfangsverdacht auf eine strafbare Handlung ergab. Mit diesen Ausführungen setzt sich der Beschwerdeführer nicht auseinander und vermag nicht im Einzelnen und konkret aufzuzeigen, dass die III. Strafkammer Recht im Sinne von Art. 42 Abs. 2 BGG verletzt hätte, als sie die Ermächtigung verweigerte. Aus der Beschwerde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Verbeiständung nicht zu entsprechen ( Art. 64 BGG ). Indessen kann ausnahmsweise auf eine Kostenauflage verzichtet werden ( Art. 66 Abs. 1 BGG ).</w:t>
      </w:r>
    </w:p>
    <w:p>
      <w:r>
        <w:t>Im Übrigen ist festzuhalten, dass eine Beschwerde gegen einen Entscheid innert 30 Tagen nach der Eröffnung beim Bundesgericht einzureichen ist ( Art. 100 Abs. 1 BGG ). Als gesetzliche Frist ist die Beschwerdefrist nicht erstreckbar ( Art. 47 BGG ). Die vorliegende Beschwerde ist am letzten Tag der Beschwerdefrist eingereicht worden. Einem allfälligen unentgeltlichen Rechtsbeistand hätte somit keine Nachfrist zur Einreichung einer verbesserten Beschwerdeschrift gewährt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