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540/2014 vom 5. Januar 2015</w:t>
      </w:r>
    </w:p>
    <w:p>
      <w:r>
        <w:t>Bundesgericht, 2015-01-05, FR</w:t>
      </w:r>
    </w:p>
    <w:p>
      <w:r>
        <w:rPr>
          <w:b/>
        </w:rPr>
        <w:t xml:space="preserve">Quelle: </w:t>
      </w:r>
      <w:r>
        <w:t>https://mcp.opencaselaw.ch/entscheid/bger_1C_540_2014</w:t>
      </w:r>
    </w:p>
    <w:p>
      <w:r>
        <w:t>FR: TF 1C 540/2014 du 5 janvier 2015</w:t>
      </w:r>
    </w:p>
    <w:p>
      <w:r>
        <w:t>IT: TF 1C 540/2014 del 5 gennaio 2015</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produit à l'appui de son écriture plusieurs pièces nouvelles qui ne se trouvent pas au dossier. Elles sont irrecevables ( art. 99 al. 1 LTF ).</w:t>
      </w:r>
    </w:p>
    <w:p>
      <w:r>
        <w:rPr>
          <w:b/>
        </w:rPr>
        <w:t>E. 3</w:t>
      </w:r>
    </w:p>
    <w:p>
      <w:r>
        <w:t>Dans un premier grief, le recourant soutient que la décision annulant sa naturalisation facilité serait intervenue au-delà du délai de prescription prévu par l' art. 41 LN .</w:t>
      </w:r>
    </w:p>
    <w:p>
      <w:r>
        <w:rPr>
          <w:b/>
        </w:rPr>
        <w:t>E. 3.1</w:t>
      </w:r>
    </w:p>
    <w:p>
      <w:r>
        <w:t>L' art. 41 al. 1bis LN , entré en vigueur le 1er mars 2011 (RO 2011 347), prévoit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 L'ancien art. 41 LN (RO 1952 1115) prévoyait un délai unique de cinq ans dès la naturalisation. Selon la jurisprudence du Tribunal administratif fédéral, il convient d'appliquer, aux naturalisations pour lesquelles ce délai péremptoire n'était pas encore écoulé au moment de l'entrée en vigueur du nouveau droit, l' art. 41 LN dans sa nouvelle teneur et de tenir compte du temps écoulé sous l'ancien droit dans le calcul du délai absolu de huit ans (arrêts du TAF C-2263/2011 du 11 septembre 2013 consid. 4.1; C-4699/2012 du 2 septembre 2013 consid. 5.1 et C-476/2012 du 19 juillet 2012 consid. 4.4). Cette pratique est compatible avec les principes généraux du droit intertemporel (rétroactivité improprement dite, ex nunc et pro futuro ; cf. art. 49 al. 1 Tit. fin. CC ; ATF 134 V 353 consid. 3.2 p. 356 s. et les références; voir également A. Grisel, Traité de droit administratif, Neuchâtel 1984, p. 150; P. Zen-Ruffinen, Droit administratif, partie générale et éléments de procédure, Bâle et Neuchâtel 2013, n° 175 ss p. 41 s.). S'agissant du délai relatif de deux ans, il ne peut commencer à courir, au plus tôt, qu'au moment de l'entrée en vigueur du nouveau droit ( ATF 134 V 353 consid. 3.2 p. 356 s. et les références).</w:t>
      </w:r>
    </w:p>
    <w:p>
      <w:r>
        <w:rPr>
          <w:b/>
        </w:rPr>
        <w:t>E. 3.2</w:t>
      </w:r>
    </w:p>
    <w:p>
      <w:r>
        <w:t>Le Tribunal administratif fédéral a constaté que l'ancien délai de cinq ans n'était pas échu lors de l'entrée en vigueur de la novelle, le 1er mars 2011. Il a ensuite retenu - ce qui n'est pas contesté - que le délai relatif de deux ans a commencé à courir le 18 juillet 2011, lorsque l'ODM a été informé du divorce et du second mariage du recourant. Les juges précédents ont toutefois estimé que ce délai avait été interrompu, conformément à l' art. 41 al. 1bis 2 ème phr. LN, par l'acte du 20 juin 2012 invitant le recourant à se déterminer sur l'annulation de sa naturalisation envisagée par l'ODM. Le recourant soutient, pour sa part, que cet envoi ne constitue pas un acte d'instruction, mais une simple communication impropre, en tant que telle, à interrompre le délai de prescription; l'annulation de la naturalisation prononcée le 11 septembre 2013 serait ainsi tardive. Selon le rapport du 30 novembre 2007 de la Commission des institutions politiques du Conseil National relatif à l'initiative parlementaire visant à introduire un délai plus long pour annuler une naturalisation (FF 2008 1161 p. 1168), il faut entendre par "acte d'instruction" toute mesure d'instruction prise par l'autorité en vue d'examiner le cas. Puisque seules sont déterminantes les mesures d'instruction communiquées à la personne concernée, il s'agit essentiellement de celles visant à constater les faits (cf. art. 12 ss de la loi fédérale sur la procédure administrative du 20 décembre 1968 [PA; RS 172.021]) ainsi que des mesures permettant à la personne concernée de s'exprimer dans le cadre de son droit d'être entendue. En l'occurrence, la correspondance du 20 juin 2012 vise en premier lieu à garantir le respect du droit d'être entendu du recourant en ce qu'elle l'informe de la procédure envisagée à son encontre tout en lui conférant la possibilité de se déterminer (droit d'être informé et de s'expliquer; sur ces notions cf. p. ex. P. Zen-Ruffinen, op. cit., n° 364 p. 91 et n° 374 p. 94 s). Par ailleurs, en sollicitant du recourant, par ce même courrier, la production de pièces ainsi que la délivrance d'une autorisation d'accès à son dossier matrimonial, l'ODM procède indéniablement à un acte s'inscrivant dans l'administration des preuves décrite aux art. 12 ss PA (cf. en particulier art. 12 let. b PA ). Sur le vu de ce qui précède, l'avis de l'ODM doit être compris comme un acte d'instruction interruptif de prescription ayant fait naître un nouveau délai de deux ans, délai dans lequel l'annulation de la naturalisation facilitée a été prononcée. Mal fondé, ce grief doit être rejeté.</w:t>
      </w:r>
    </w:p>
    <w:p>
      <w:r>
        <w:rPr>
          <w:b/>
        </w:rPr>
        <w:t>E. 4</w:t>
      </w:r>
    </w:p>
    <w:p>
      <w:r>
        <w:t>Sur le fond, le recourant reproche au Tribunal administratif fédéral d'avoir à tort nié l'existence d'une communauté conjugale effective et stable lors de la signature de la déclaration de vie commune. Il soutient que l'autorité inférieure serait parvenue à cette conclusion par des déductions erronées. En d'autres termes, les juges précédents se seraient livrés à une appréciation arbitraire des preuves.</w:t>
      </w:r>
    </w:p>
    <w:p>
      <w:r>
        <w:rPr>
          <w:b/>
        </w:rPr>
        <w:t>E. 4.1</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ce qu'il appartient au recourant de démontrer par une argumentation répondant aux exigences de l' art. 42 al. 2 LTF , respectivement de l' art. 106 al. 2 LTF ( ATF 137 I 58 consid. 4.1.2 p. 62).</w:t>
      </w:r>
    </w:p>
    <w:p>
      <w:r>
        <w:rPr>
          <w:b/>
        </w:rPr>
        <w:t>E. 4.2</w:t>
      </w:r>
    </w:p>
    <w:p>
      <w:r>
        <w:t>Conformément à l' art. 41 al. 1 LN , l'ODM peut, avec l'assentiment de l'autorité du canton d'origine, annuler la naturalisation ou la réintégration obtenue par des déclarations mensongères ou la dissimulation de faits essentiels.</w:t>
      </w:r>
    </w:p>
    <w:p>
      <w:r>
        <w:rPr>
          <w:b/>
        </w:rPr>
        <w:t>E. 4.2.1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rPr>
          <w:b/>
        </w:rPr>
        <w:t>E. 4.2.2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4.3</w:t>
      </w:r>
    </w:p>
    <w:p>
      <w:r>
        <w:t>En l'espèce, la déclaration commune a été signée le 6 mai 2008 et la naturalisation facilitée octroyée le 3 juillet 2008. Après le départ du recourant pour Chypre, le 31 août 2008, les époux ont cessé toute vie commune jusqu'au divorce, prononcé le 24 mai 2010. Moins de trois mois plus tard, le 7 août 2010, le recourant a épousé une ressortissante helvétique, d'origine tunisienne. L'enchaînement rapide de ces événements est de nature, conformément à la pratique, à fonder la présomption de fait selon laquelle le recourant et sa première épouse ne formaient pas une union stable au sens de l' art. 27 LN , lors de la signature de la déclaration de vie commune, respectivement lors de la décision de naturalisation (cf. notamment arrêts 1C_674/2013 du 12 décembre 2013 consid. 3.3; 1C_172/2012 du 11 mai 2012 consid. 2.2; 1C_472/2011 du 22 décembre 2011 consid. 2.1.3). Bien que le recourant parle de "soi-disant présomption", il ne la critique pas en tant que telle. Il convient dès lors de déterminer s'il parvient à la renverser.</w:t>
      </w:r>
    </w:p>
    <w:p>
      <w:r>
        <w:rPr>
          <w:b/>
        </w:rPr>
        <w:t>E. 4.4</w:t>
      </w:r>
    </w:p>
    <w:p>
      <w:r>
        <w:t>Le recourant soutient principalement que la séparation serait intervenue à l'initiative de sa première épouse qui ne se sentait pas en mesure de le rejoindre en Tunisie. Il estime qu'il s'agit d'un événement extraordinaire propre à renverser la présomption de fait sur laquelle le Tribunal administratif fédéral a fondé son raisonnement. Les juges précédents ont considéré que ce refus ne saurait être la seule cause de la désunion et expliquer la dégradation rapide du lien conjugal alléguée par le recourant. Ils ont retenu, dans ce cadre, que ce dernier n'avait entrepris aucune démarche tendant à trouver un poste de travail en Suisse, après que son ex-épouse lui avait annoncé qu'elle ne le suivrait pas en Tunisie. Ce point n'est pas réellement discuté par le recourant, qui se contente d'affirmer, sans autre forme de motivation, qu'il aurait durant toute sa carrière (et encore aujourd'hui) cherché à travailler en Suisse. On ne saurait toutefois le suivre dans cette voie, le dossier ne contenant aucun élément permettant d'appuyer cette assertion, ainsi qu'on le verra ci-dessous (cf. consid. 4.4 3 ème paragraphe). Or, l'absence d'une telle démarche doit être assimilée à un défaut de tentative de réconciliation qui, ajoutée au bref intervalle de temps séparant l'engagement du recourant du dépôt de la demande en divorce, respectivement de son remariage, dénote un manque de volonté de sauver le couple qui est incompatible avec l'existence d'une union effective et stable telle qu'exigée par l' art. 27 al. 1 let . c LN (cf. arrêt 1C_255/2011 du 27 septembre 2011 consid. 2.1.1). A teneur du dossier, les recherches d'emploi du recourant sont au contraire orientées vers des postes à caractère international. D'ailleurs, les courriels reproduisant les motivations données par le recourant à l'appui de ses différentes postulations font, dans une très large mesure, état de son attrait pour des postes offrant des opportunités de voyages. Quant aux messages électroniques dans lesquels cette motivation fait défaut, ils ne permettent pas d'identifier la nature des places de travail recherchées. Il appartenait toutefois au recourant - s'il l'estimait opportun - de fournir à l'autorité précédente des précisions à ce propos, ce d'autant plus que la problématique d'une prise d'emploi à l'étranger avait déjà été mise en exergue par l'ODM. Le Tribunal administratif fédéral pouvait dès lors sans arbitraire retenir l'intérêt du recourant pour les voyages, lequel se trouve encore confirmé par les tampons apposés dans ses passeports, dont rien au dossier ne permet de conclure qu'ils résulteraient de voyages effectués en compagnie de son épouse d'alors. On ne peut pas non plus déduire de ces tampons qu'ils prouveraient les nombreuses visites qu'il aurait rendues à son épouse, alors qu'elle demeurait en Suisse, puisqu'ils n'indiquent que les dates d'entrée, respectivement de sortie du pays étranger concerné. En définitive, en retenant que le recourant recherchait activement un emploi à l'étranger et que le refus de son ex-épouse de se rendre en Tunisie ne constitue pas, en l'espèce, un événement extraordinaire, l'arrêt attaqué ne prête pas le flanc à la critique. De surcroît, l'inexistence d'une union stable et effective déduite de la chronologie des événements se trouve confirmée par d'autres éléments du dossier. Il ressort des déclarations de l'ex-épouse que cette dernière méconnaissait, voire ignorait la nature de la formation suivie par le recourant durant le mariage. A cela s'ajoute que celui-ci a unilatéralement pris la décision d'accepter un poste de travail à l'étranger sans la consulter ni même l'en informer préalablement. Ces éléments sont incompatibles avec la poursuite d'un avenir commun et dénotent, au contraire, la volonté de chacun des intéressés, en particulier du recourant, de poursuivre ses intérêts personnels. On peut néanmoins, avec le recourant, admettre que le motif invoqué par son ex-épouse, à savoir le souhait de demeurer auprès de son fils et de sa mère malade, ne caractérise pas à lui seul la poursuite d'un intérêt strictement personnel. Cependant, inscrit dans le contexte décrit ci-dessus, il renforce la conviction de la Cour de céans quant à l'inexistence d'une union réellement vécue lors de la signature de la déclaration commune, respectivement de l'octroi de la naturalisation.</w:t>
      </w:r>
    </w:p>
    <w:p>
      <w:r>
        <w:rPr>
          <w:b/>
        </w:rPr>
        <w:t>E. 4.5</w:t>
      </w:r>
    </w:p>
    <w:p>
      <w:r>
        <w:t>C'est ainsi sans violer le droit fédéral, en particulier l' art. 41 LN , que le Tribunal administratif a confirmé l'annulation de la naturalisation facilitée octroyée au recourant.</w:t>
      </w:r>
    </w:p>
    <w:p>
      <w:r>
        <w:rPr>
          <w:b/>
        </w:rPr>
        <w:t>E. 5</w:t>
      </w:r>
    </w:p>
    <w:p>
      <w:r>
        <w:t>Sur le vu des considérants qui précèdent, le recours doit être rejeté dans la mesure de sa recevabilité aux frais du recourant qui succombe ( art. 65,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