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1C_53/2024 vom 24. Juli 2024</w:t>
      </w:r>
    </w:p>
    <w:p>
      <w:r>
        <w:t>Bundesgericht, 2024-07-24, DE</w:t>
      </w:r>
    </w:p>
    <w:p>
      <w:r>
        <w:rPr>
          <w:b/>
        </w:rPr>
        <w:t xml:space="preserve">Quelle: </w:t>
      </w:r>
      <w:r>
        <w:t>https://mcp.opencaselaw.ch/entscheid/bger_1C_53_2024</w:t>
      </w:r>
    </w:p>
    <w:p>
      <w:r>
        <w:t>FR: TF 1C_53/2024 du 24 juillet 2024</w:t>
      </w:r>
    </w:p>
    <w:p>
      <w:r>
        <w:t>IT: TF 1C_53/2024 del 24 luglio 2024</w:t>
      </w:r>
    </w:p>
    <w:p>
      <w:pPr>
        <w:pStyle w:val="Heading2"/>
      </w:pPr>
      <w:r>
        <w:t>Erwägungen</w:t>
      </w:r>
    </w:p>
    <w:p>
      <w:r>
        <w:rPr>
          <w:b/>
        </w:rPr>
        <w:t>E. 1.1</w:t>
      </w:r>
    </w:p>
    <w:p>
      <w:r>
        <w:t>Angefochten ist ein kantonal letztinstanzlicher Entscheid betreffend Informationszugang gestützt auf das Gesetz des Kantons Appenzell Ausserrhoden vom 18. Juni 2001 über den Datenschutz (Datenschutzgesetz; bGS 146.1). Dagegen steht grundsätzlich die Beschwerde in öffentlich-rechtlichen Angelegenheiten zur Verfügung ( Art. 82 lit. a, Art. 86 Abs. 1 lit. d BGG ).</w:t>
      </w:r>
    </w:p>
    <w:p>
      <w:r>
        <w:rPr>
          <w:b/>
        </w:rPr>
        <w:t>E. 1.2</w:t>
      </w:r>
    </w:p>
    <w:p>
      <w:r>
        <w:t>Zu prüfen ist, ob der Gemeinderat und die Beratungsstelle für Flüchtlinge gemäss Art. 89 BGG zur Beschwerde berechtigt sind. Nach Art. 42 Abs. 1 BGG müssen die Beschwerdeführer die Tatsachen darlegen, aus denen sich ihre Beschwerdeberechtigung ergibt, soweit diese nicht offensichtlich gegeben ist ( BGE 141 IV 289 E. 1.3 mit Hinweisen). Eine Bejahung des Beschwerderechts nach Art. 89 Abs. 2 lit. c oder d BGG fällt nicht in Betracht und wird von den Beschwerdeführern auch nicht geltend gemacht. Sie sind vielmehr der Auffassung, nach Art. 89 Abs. 1 BGG zur Beschwerde berechtigt zu sein. In den Anwendungsbereich dieser Bestimmung fallen jedoch einzig Rechtssubjekte, wozu auch Gemeinden als öffentlich-rechtliche Körperschaften gehören, nicht aber Behörden oder Verwaltungszweige ( BGE 141 I 253 E. 3.2; Urteile 2C_557/2023 vom 1. Mai 2024 E. 3.2; 9C_460/2021 vom 1. April 2022 E. 2.1, nicht publ. in: BGE 148 V 242 ; 1C_241/2022 vom 3. November 2022 E. 1.3; je mit Hinweisen). Selbst wenn davon ausgegangen würde, dass im bundesgerichtlichen Verfahren der Gemeinderat als Organ der Gemeinde Herisau handelt - und somit entgegen den Angaben in der Beschwerdeschrift nicht Ersterer, sondern Letztere als Verfahrenspartei zu betrachten wäre - wäre das Beschwerderecht zu verneinen, wie aus den nachfolgenden Erwägungen hervorgeht.</w:t>
      </w:r>
    </w:p>
    <w:p>
      <w:r>
        <w:rPr>
          <w:b/>
        </w:rPr>
        <w:t>E. 1.3</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eine Privatperson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138 II 506 E. 2.1.1; Urteil 2C_557/2023 vom 1. Mai 2024 E. 3.5; je mit Hinweisen).</w:t>
      </w:r>
    </w:p>
    <w:p>
      <w:r>
        <w:t>Die hier umstrittene Datenbearbeitung betrifft die amtliche Tätigkeit der Gemeinde (vgl. dazu auch Art. 1 Datenschutzgesetz, wonach das Gesetz dem Schutz der Grundrechte von Personen dient, über welche öffentliche Organe Daten bearbeiten). Diese ist durch das angefochtene Urteil deshalb nicht wie eine Privatperson betroffen (Urteil 1C_566/2021 vom 2. August 2023 E. 1.2.2).</w:t>
      </w:r>
    </w:p>
    <w:p>
      <w:r>
        <w:t>Hinsichtlich der Durchsetzung hoheitlicher Anliegen als weiterer Anwendungsfall der Beschwerdelegitimation nach Art. 89 Abs. 1 BGG weisen die Beschwerdeführer auf angebliche finanzielle Auswirkungen hin, deren Erheblichkeit sie jedoch nicht aufzeigen (vgl. Art. 42 Abs. 1 BGG und E. 1.2 hiervor). Zudem befürchten sie einen Reputationsschaden sowie personalrechtliche, aufsichtsrechtliche und allenfalls gar strafrechtliche Konsequenzen für die Gemeinde und deren Personal, wenn der Vorwurf zuträfe, dass "hinterrücks und unrechtmässig" Daten beschafft worden seien. Auch behaupten sie, die Gemeinde hätte dem angefochtenen Urteil zufolge jegliche ihr zugegangenen Daten zu speichern und zu archivieren, völlig unabhängig von Inhalt und Relevanz. Mit diesen Vorbringen überschätzen sie jedoch die präjudizielle Bedeutung des angefochtenen Entscheids. Dieser verpflichtet die Gemeinde keineswegs dazu, sämtliche ihr zugegangenen Daten zu speichern und zu archivieren. Vielmehr liegt seine Bedeutung im Wesentlichen in der Interpretation der konkreten Umstände des Einzelfalls (vgl. Urteil 1C_566/2021 vom 2. August 2023 E. 1.2.5). Dass die Aussicht darauf besteht, dass sich diese Umstände in Zukunft wiederholen könnten, behaupten die Beschwerdeführer nicht. Vielmehr machten sie gemäss den vorinstanzlichen Ausführungen im kantonalen Verfahren sogar geltend, dass mit der Abgabe des Formulars keine Absicht der Informationsbeschaffung verbunden gewesen sei und wiesen auf ein mögliches sprachliches Missverständnis hin. Streitgegenstand im Verfahren vor Obergericht war weiter nicht eine Feststellung betreffend eine geheime Überwachung, sondern lediglich der Anspruch auf Auskunft über bearbeitete Daten. Dass die Bejahung dieses Anspruchs im konkreten Einzelfall die Gemeinde erheblich in wichtigen öffentlichen Interessen betreffen könnte, ist nicht erkennbar.</w:t>
      </w:r>
    </w:p>
    <w:p>
      <w:r>
        <w:rPr>
          <w:b/>
        </w:rPr>
        <w:t>E. 2</w:t>
      </w:r>
    </w:p>
    <w:p>
      <w:r>
        <w:t>Auf die Beschwerde ist aus diesen Erwägungen nicht einzutreten.</w:t>
      </w:r>
    </w:p>
    <w:p>
      <w:r>
        <w:t>Es sind keine Gerichtskosten zu erheben ( Art. 66 Abs. 4 BGG ). Die unterliegenden Beschwerdeführer haben den anwaltlich vertretenen Beschwerdegegnern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