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1C_53/2021 vom 17. März 2022</w:t>
      </w:r>
    </w:p>
    <w:p>
      <w:r>
        <w:t>Bundesgericht, 2022-03-17, FR</w:t>
      </w:r>
    </w:p>
    <w:p>
      <w:r>
        <w:rPr>
          <w:b/>
        </w:rPr>
        <w:t xml:space="preserve">Quelle: </w:t>
      </w:r>
      <w:r>
        <w:t>https://mcp.opencaselaw.ch/entscheid/bger_1C_53_2021</w:t>
      </w:r>
    </w:p>
    <w:p>
      <w:r>
        <w:t>FR: TF 1C_53/2021 du 17 mars 2022</w:t>
      </w:r>
    </w:p>
    <w:p>
      <w:r>
        <w:t>IT: TF 1C_53/2021 del 17 marzo 2022</w:t>
      </w:r>
    </w:p>
    <w:p>
      <w:pPr>
        <w:pStyle w:val="Heading2"/>
      </w:pPr>
      <w:r>
        <w:t>Erwägungen</w:t>
      </w:r>
    </w:p>
    <w:p>
      <w:r>
        <w:rPr>
          <w:b/>
        </w:rPr>
        <w:t>E. 1</w:t>
      </w:r>
    </w:p>
    <w:p>
      <w:r>
        <w:t>Le recours est dirigé contre une décision finale ( art. 90 LTF ) prise en dernière instance cantonale ( art. 86 al. 1 let . d LTF) dans le domaine du droit public de l'aménagement du territoire et des constructions ( art. 82 let. a LTF ). Il est en principe recevable comme recours en matière de droit public selon les art. 82 ss LTF , aucune des exceptions prévues à l' art. 83 LTF n'étant réalisée.</w:t>
      </w:r>
    </w:p>
    <w:p>
      <w:r>
        <w:t>Les recourants ont pris part à la procédure de recours devant le Tribunal cantonal. Certains d'entre eux n'ont toutefois pas recouru contre le permis de construire initial, mais seulement contre les décisions ultérieures, de sorte que leur qualité pour recourir devrait être limitée en conséquence. En outre, certains recourants habitent à une certaine distance du projet, sans expliquer précisément en quoi ils auront à en subir les impacts. Ces questions peuvent toutefois demeurer indécises car certains recourants sont des habitants directement voisins du projet, particulièrement touchés par l'arrêt attaqué et pouvant ainsi se prévaloir d'un intérêt personnel et digne de protection à l'annulation de l'arrêt attaqué. Dès lors que la qualité pour agir doit leur être reconnue au sens de l' art. 89 al. 1 LTF , il n'y a pas à examiner dans le détail la situation propre à chacun des autres recourants.</w:t>
      </w:r>
    </w:p>
    <w:p>
      <w:r>
        <w:t>Les autres conditions de recevabilité du recours en matière de droit public sont au surplus réunies, de sorte qu'il convient d'entrer en matière.</w:t>
      </w:r>
    </w:p>
    <w:p>
      <w:r>
        <w:rPr>
          <w:b/>
        </w:rPr>
        <w:t>E. 2</w:t>
      </w:r>
    </w:p>
    <w:p>
      <w:r>
        <w:t>Dans un premier grief, les recourants se plaignent d'établissement manifestement inexact des faits. Ils reprochent à la cour cantonale d'avoir retenu que le changement d'affectation de la partie de la parcelle n° 808 qui se trouvait en zone agricole "était prévu d'emblée" pour nier la nécessité d'une autorisation spéciale au sens de l' art. 24 LAT (consid. 6 de l'arrêt attaqué). Or, il ressortirait des écritures de la commune que cette modification a été décidée durant la procédure de recours pour tenir compte des objections des recourants. En outre, contrairement à ce que retient l'arrêt attaqué, seuls les élèves venant du village de Le Muids et de la gare pourraient accéder à pied à l'école par le chemin de la Grange; pour les autres, il n'existerait pas de trottoir le long de la route cantonale menant à Arzier et on ne pourrait donc affirmer que l'école serait accessible à pied. Les recourants se plaignent par ailleurs de ce que certains faits auraient été arbitrairement ignorés: l'accès au parking est demeuré inchangé entre la première enquête publique et celle concernant les aménagements routiers, de sorte que les exigences de l' art. 24 LAT auraient été contournées; l'absence d'accès pour les cyclistes aurait été ignorée; la CDAP n'aurait pas non plus tenu compte des importants mouvements de terre nécessaires à l'implantation en sous-sol des salles de gymnastique; l'environnement dans lequel le projet doit prendre place (à l'extrémité du village, entouré de zone agricole non bâtie) ainsi que les importants remblais auraient eux aussi été ignorés dans l'examen du grief relatif au manque d'intégration.</w:t>
      </w:r>
    </w:p>
    <w:p>
      <w:r>
        <w:rPr>
          <w:b/>
        </w:rPr>
        <w:t>E. 2.1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w:t>
      </w:r>
    </w:p>
    <w:p>
      <w:r>
        <w:rPr>
          <w:b/>
        </w:rPr>
        <w:t>E. 2.2</w:t>
      </w:r>
    </w:p>
    <w:p>
      <w:r>
        <w:t>Selon l'arrêt attaqué, la surface de 303 m² précédemment affectée en zone agricole au nord de la parcelle n° 808 a été incorporée au domaine public après l'adoption du plan routier et ne nécessitait donc plus d'autorisation dérogatoire au sens de l' art. 24 LAT , à tout le moins lorsque la cour cantonale a statué. En outre, il n'apparaît pas arbitraire de considérer que ce changement d'affectation était prévu d'emblée: si la partie de la parcelle jouxtant la route cantonale n'a pas été colloquée en zone d'utilité publique lors de la planification, c'est manifestement en prévision de son intégration future au domaine public, l'accès à la parcelle en question devant être aménagé à cet endroit.</w:t>
      </w:r>
    </w:p>
    <w:p>
      <w:r>
        <w:t>L'affirmation selon laquelle les élèves auront la possibilité de se rendre en transports publics et à pied à l'école a été formulée dans le cadre de l'examen d'un grief relatif à la mesure B41 du Plan directeur cantonal (PDCn). Selon cette mesure, l'organisation scolaire intègre les principes de mobilité douce et d'accessibilité. La CDAP a laissé indécise la question de la portée d'une telle mesure dans le cadre d'une procédure d'autorisation de construire; elle a relevé que la mesure en question ne fixait pas de principe d'implantation pour un établissement scolaire primaire (elle ne traite en effet sur ce point que des établissements secondaires). La cour cantonale n'a donc nullement affirmé, dans le cadre de ce grief d'ordre général, que l'accès piétonnier était assuré pour l'ensemble des élèves. Elle relève d'ailleurs expressément que, selon le rapport de mai 2020, il n'est pas prévu de créer de nouveaux aménagements pour les piétons sur la route d'Arzier au niveau du futur accès (consid. 8b/dd). Les faits dont se prévalent les recourants sont donc bien mentionnés dans l'arrêt attaqué et la question de savoir si l'accès ainsi décrit est suffisant ne relève pas de l'établissement des faits mais du droit.</w:t>
      </w:r>
    </w:p>
    <w:p>
      <w:r>
        <w:t>L'arrêt attaqué ne nie pas que l'accès au complexe scolaire, par la partie de la parcelle n° 808 non colloquée en zone à bâtir, est resté le même depuis la première mise à l'enquête; comme le relèvent les recourants, ce fait ressort des plans figurant au dossier et ils peuvent donc s'en prévaloir céans sans que l'état de fait de l'arrêt attaqué ne doive être formellement complété.</w:t>
      </w:r>
    </w:p>
    <w:p>
      <w:r>
        <w:t>L'absence d'aménagements prévus pour les cyclistes n'est pas non plus un fait qui aurait été arbitrairement écarté par la cour cantonale. Cela ressort notamment du rapport selon lequel la création d'une piste ou d'une bande cyclable sur la route d'Arzier n'aurait de sens que si ce genre d'aménagement était généralisé sur l'axe entier. A nouveau, la question de savoir si l'absence de tels aménagements satisfait à l'obligation d'équipement relève du droit.</w:t>
      </w:r>
    </w:p>
    <w:p>
      <w:r>
        <w:t>L'ensemble des autres faits évoqués par les recourants (mouvements de terre, emplacement, environnement et caractéristiques du bâtiment) ressort du dossier, en particulier des plans, et n'est pasen tant que tel remis en cause par l'arrêt attaqué, même si celui-ci ne les reprend pas expressément dans son considérant relatif à l'intégration des bâtiments (consid. 11). Les recourants peuvent ainsi reprendre ces faits sans restriction à l'appui de leur argumentation juridique, sans qu'il se justifie de corriger l'arrêt attaqué.</w:t>
      </w:r>
    </w:p>
    <w:p>
      <w:r>
        <w:t>Les griefs relatifs à l'établissement des faits doivent par conséquent être écartés.</w:t>
      </w:r>
    </w:p>
    <w:p>
      <w:r>
        <w:rPr>
          <w:b/>
        </w:rPr>
        <w:t>E. 3</w:t>
      </w:r>
    </w:p>
    <w:p>
      <w:r>
        <w:t>Se plaignant d'un déni de justice formel ( art. 29 al. 2 Cst. ), les recourants reprochent à la cour cantonale de ne pas avoir statué sur le grief relatifs aux mouvements de terre (soit un remblai de 5 mètres de profondeur et de 48 mètres de longueur) qu'ils estiment excessifs. Cet élément serait d'autant plus à prendre en considération que la réglementation de la zone d'utilité publique est lacunaire. La CDAP aurait également omis de se prononcer sur le grief - soulevé lors de l'inspection locale du 4 novembre 2020 - relatif au bruit de la route cantonale et au respect des valeurs limites d'exposition ( art. 31 OPB ).</w:t>
      </w:r>
    </w:p>
    <w:p>
      <w:r>
        <w:rPr>
          <w:b/>
        </w:rPr>
        <w:t>E. 3.1</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145 V 557 consid. 3.2.1 et les références).</w:t>
      </w:r>
    </w:p>
    <w:p>
      <w:r>
        <w:rPr>
          <w:b/>
        </w:rPr>
        <w:t>E. 3.2</w:t>
      </w:r>
    </w:p>
    <w:p>
      <w:r>
        <w:t>La question des mouvements de terre est évoquée dans le recours cantonal, mais uniquement sous l'angle de la clause d'esthétique et d'intégration de l'art. 86 LACT, les recourants eux-mêmes admettant que la réglementation communale était lacunaire sur ce point. C'est sous cet angle que la CDAP a examiné la question en rappelant d'une part la liberté d'appréciation dont bénéficie l'autorité communale dans ce domaine et la retenue dont doit faire preuve l'instance de recours, et considérant d'autre part que l'enterrement des salles de sport contribuait à une bonne intégration du projet (consid. 11b). La cour cantonale a, ce faisant, répondu de manière suffisante au grief tel qu'il était soulevé.</w:t>
      </w:r>
    </w:p>
    <w:p>
      <w:r>
        <w:rPr>
          <w:b/>
        </w:rPr>
        <w:t>E. 3.3</w:t>
      </w:r>
    </w:p>
    <w:p>
      <w:r>
        <w:t>La question du respect de l'OPB n'est en revanche soulevée ni dans le recours cantonal, ni dans la réplique du 27 août 2020. Il ressort du procès-verbal d'inspection locale du 4 novembre 2020 que l'avocat des recourants a produit un extrait du guichet cartographique concernant le cadastre du bruit routier; il n'est toutefois pas indiqué qu'un quelconque grief ait été soulevé à ce sujet; le procès-verbal a été transmis aux parties le 5 novembre 2020, et les recourants n'ont émis aucune réserve à ce sujet ni aucun grief dans leurs ultimes écritures du 30 novembre 2020. On ne saurait dès lors considérer que la cour cantonale aurait omis de statuer sur un grief qui lui aurait été valablement soumis.</w:t>
      </w:r>
    </w:p>
    <w:p>
      <w:r>
        <w:rPr>
          <w:b/>
        </w:rPr>
        <w:t>E. 4</w:t>
      </w:r>
    </w:p>
    <w:p>
      <w:r>
        <w:t>Sur le fond, les recourants estiment que le projet de centre scolaire intercommunal aurait dû faire l'objet d'une planification spéciale en vertu de l' art. 2 LAT dans la mesure où il se trouve partiellement hors de la zone à bâtir, en rase campagne dans une commune qui n'est pas un centre régional. Le projet présente une grande ampleur et des impacts considérables notamment en terme de trafic, d'impact visuel, de protection des eaux et de sécurité d'accès. Seule une procédure de planification spéciale aurait permis l'étude de variantes de localisation conformément à la mesure B41 du PDCn.</w:t>
      </w:r>
    </w:p>
    <w:p>
      <w:r>
        <w:rPr>
          <w:b/>
        </w:rPr>
        <w:t>E. 4.1</w:t>
      </w:r>
    </w:p>
    <w:p>
      <w:r>
        <w:t>Selon la jurisprudence, le droit fédéral exige que, lors de l'accomplissement de tâches d'aménagement, l'instrument de planification ou de décision adéquat soit utilisé ( ATF 140 II 262 consid. 2.3.1). Il prescrit ainsi une obligation spéciale de planifier qui vise des objets ou des activités non conformes à l'affectation de la zone dont l'incidence sur la planification locale ou l'environnement est importante. En revanche, lorsqu'il s'agit d'un projet, même de grande ampleur, conforme à l'affectation de la zone, le droit fédéral n'oblige pas de passer par la voie de la planification spéciale (arrêts 1C_892/2013 du 1er avril 2015 consid. 2.1, in RDAF 2015 I p. 453; 1C_442/2020 du 4 mars 2021 consid. 5.1; 1C_164/2019 du 20 janvier 2021 consid. 5.1). Lorsque la collectivité publique a procédé concrètement à la différenciation de son territoire entre les divers types de zones, elle a en principe d'ores et déjà pondéré les intérêts en présence et a veillé à la participation de toutes les parties concernées dans le cadre de la procédure d'adoption du plan général d'affectation (cf. ATF 119 Ia 362 consid. 5a; 115 Ia 350 consid. 3d; arrêt 1C_892/2013 du 1er avril 2015 consid. 2.1, in RDAF 2015 I p. 453).</w:t>
      </w:r>
    </w:p>
    <w:p>
      <w:r>
        <w:t>Il est cependant envisageable qu'une installation, même conforme à l'affectation de la zone, ait une incidence telle sur le territoire qu'une planification soit nécessaire pour assurer une évaluation du projet à une échelle plus étendue,- en particulier s'il s'agit d'une zone non constructible. Les critères permettant de déterminer si la planification s'impose ne peuvent toutefois pas être plus stricts que pour des constructions ou installations non conformes à l'affectation de la zone (arrêts 1C_630/2020 du 6 décembre 2020 consid. 2.1.1; 1C_892/2013 du 1er avril 2015 consid. 2.1, in RDAF 2015 I p. 453). Pour celles-ci, il peut y avoir obligation de planifier notamment lorsqu'elles sont soumises à l'étude d'impact sur l'environnement, lorsqu'elles s'étendent sur une vaste surface (gravières, installations de gestion des déchets, centres sportifs, installations d'enneigement artificiel), ou lorsque, à l'instar d'une forte augmentation du trafic, elles ont des effets importants sur l'environnement ( ATF 129 II 63 consid. 2.1; arrêts 1C_405/2016 du 30 mai 2018 consid. 3, in DEP 2018 p. 537; 1C_442/2020 du 4 mars 2021 consid. 5.1).</w:t>
      </w:r>
    </w:p>
    <w:p>
      <w:r>
        <w:rPr>
          <w:b/>
        </w:rPr>
        <w:t>E. 4.2</w:t>
      </w:r>
    </w:p>
    <w:p>
      <w:r>
        <w:t>Le projet de centre scolaire intercommunal est pour l'essentiel sis dans une zone à bâtir et est indubitablement conforme à l'affectation de la zone d'utilité publique telle qu'elle est définie à l'art. 2.6 du règlement général sur les constructions et l'aménagement du territoire de la commune (RGCAT). En prévoyant à cet emplacement des "constructions, installations et aménagements qui sont en relation avec un équipement public ou collectif", le planificateur communal avait à l'esprit des infrastructures d'une certaine importance pouvant générer des nuisances liées notamment au bruit ou au trafic. Dans un tel contexte de conformité à la zone d'affectation - constructible de surcroît -, la voie de l'autorisation de construire est, comme on l'a vu, la règle et celle de la planification l'exception. L'incidence spatiale du projet n'est, du point de vue de l'aménagement du territoire, pas majeure. Le site se trouve certes à l'extrémité du village, mais dans le prolongement d'une zone déjà construite. Sous réserve de la question des accès (consid. 6 ci-dessous) le trafic automobile engendré (environ 365 véhicules/jour) sera absorbé par le réseau routier existant et les valeurs de planification fixées dans l'OPB seront respectées selon l'étude acoustique de septembre 2017. Le périmètre est traversé par le ruisseau du Bix, qui s'écoule entre les bâtiments et le parking projetés. Toutefois, l'espace réservé aux eaux (soit 11 m pour une largeur naturelle du fond du lit inférieure à 1 m) est respecté - ce que les recourants ne contestent plus à ce stade - et le projet devra être coordonné avec la revitalisation en cours d'étude en aval.</w:t>
      </w:r>
    </w:p>
    <w:p>
      <w:r>
        <w:t>Contrairement donc à ce que prétendent les recourants, il n'existe aucune circonstance propre à imposer une obligation de planifier.</w:t>
      </w:r>
    </w:p>
    <w:p>
      <w:r>
        <w:rPr>
          <w:b/>
        </w:rPr>
        <w:t>E. 5</w:t>
      </w:r>
    </w:p>
    <w:p>
      <w:r>
        <w:t>Invoquant les art. 24 et 25 LAT , les recourants relèvent que lors de l'octroi de l'autorisation de construire, une portion du terrain était située en zone agricole et son intégration au domaine public n'était pas prévue d'emblée. A défaut de l'autorisation cantonale, l'autorisation de construire serait nulle et les démarches entreprises après-coup ne permettraient pas de corriger ce vice. Subsidiairement, les recourants affirment que les exigences de l' art. 24 LAT seraient contournées.</w:t>
      </w:r>
    </w:p>
    <w:p>
      <w:r>
        <w:rPr>
          <w:b/>
        </w:rPr>
        <w:t>E. 5.1</w:t>
      </w:r>
    </w:p>
    <w:p>
      <w:r>
        <w:t>Selon la jurisprudence il y a contournement des exigences de l' art. 24 LAT par la création de petites zones à bâtir isolées ne répondant pas aux exigences de l' art. 15 LAT ( ATF 124 II 391 consid. 2; arrêts 1C_636/2015 du 26 mai 2016 consid. 2.3.2; 1C_225/2008 du 9 mars 2009 consid. 4.1 et les arrêts cités, publié in RDAF 2011 I p. 563). Tel n'est pas le cas de l'incorporation d'une portion de terrain au domaine public afin de servir à l'aménagement d'une route ou d'un accès.</w:t>
      </w:r>
    </w:p>
    <w:p>
      <w:r>
        <w:rPr>
          <w:b/>
        </w:rPr>
        <w:t>E. 5.2</w:t>
      </w:r>
    </w:p>
    <w:p>
      <w:r>
        <w:t>Les recourants partent de la prémisse - erronée comme on l'a vu - que l'intégration de cette portion de terrain (quelques dizaines de mètres carrés) au domaine public n'était pas prévue d'emblée. Si cette portion de terrain n'a pas été rattachée à la zone d'utilité publique alors qu'elle se trouve entre cette zone et la route qui est censée la desservir, cela ne peut guère s'expliquer que par la volonté d'aménager la route et les accès à cet endroit. Compte tenu de sa taille très réduite et de son affectation probable, l'existence de cette portion de zone agricole (qui ne couvre d'ailleurs aucun des aménagements prévus pour le centre scolaire et son parking) ne permettait pas de remettre en cause la validité du permis de construire délivré en mai 2018. Le grief est mal fondé.</w:t>
      </w:r>
    </w:p>
    <w:p>
      <w:r>
        <w:rPr>
          <w:b/>
        </w:rPr>
        <w:t>E. 6</w:t>
      </w:r>
    </w:p>
    <w:p>
      <w:r>
        <w:t>Invoquant l' art. 19 LAT , les recourants critiquent ensuite les accès au futur complexe scolaire. Ils estiment que la sécurité des élèves (âgés de 6 à 12 ans), ne serait pas garantie. Les écoliers venant à pied depuis le village d'Arzier ainsi que les cyclistes ne disposeraient d'aucun accès sécurisé: la route d'Arzier, dont la vitesse est limitée à 80 km/h, est sinueuse, sans visibilité et dépourvue de trottoir ou de piste cyclable. Le chemin de la Petolière, qui relie la gare de Le Muids au chemin de la Grange, tout comme ce dernier, sont également dépourvus de tels aménagements.</w:t>
      </w:r>
    </w:p>
    <w:p>
      <w:r>
        <w:rPr>
          <w:b/>
        </w:rPr>
        <w:t>E. 6.1</w:t>
      </w:r>
    </w:p>
    <w:p>
      <w:r>
        <w:t>Selon l' art. 19 al. 1 LAT , un terrain est notamment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arrêts 1C_155/2019 du 11 décembre 2019 consid. 5.1; 1C_56/2019 du 14 octobre 2019 consid. 3.1).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1C_155/2019 du 11 décembre 2019 consid. 5.1 et les arrêts cités; 1C_56/2019 du 14 octobre 2019 consid. 3.1). Les autorités communales et cantonales disposent en ce domaine d'un important pouvoir d'appréciation, que le Tribunal fédéral doit respecter ( ATF 121 I 65 consid. 3a in fine; 96 I 369 consid. 4; arrêts 1C_309/2019 du 8 mai 2020 consid. 6.2; 1C_155/2019 du 11 décembre 2019 consid. 5.1).</w:t>
      </w:r>
    </w:p>
    <w:p>
      <w:r>
        <w:rPr>
          <w:b/>
        </w:rPr>
        <w:t>E. 6.2</w:t>
      </w:r>
    </w:p>
    <w:p>
      <w:r>
        <w:t>La question de l'accessibilité du futur centre scolaire a fait l'objet de trois rapports spécifiques. Le premier, de septembre 2018, relève que l'accès préconisé depuis la Gare de Le Muids se fait en suivant le chemin de la Petolière, en traversant la route cantonale (aménagée à cet endroit), puis en suivant la rue du Village puis le chemin de la Grange. L'accès à pied par la route cantonale, qui ne comporte pas de trottoir, n'est pas recommandé. Les dysfonctionnements sont identifiés (absence de trottoir continu sur la rue du Village, quelques sorties de véhicules sans visibilité sur le chemin de la Grange) et quelques mesures sont nécessaires pour y remédier (bande piétonne sur un côté du chemin de la Petolière, marquage sur les chemins du Village et de la Grange). Le même bureau d'ingénieur a élaboré un rapport en mai 2020 à l'appui du projet de carrefour et de parking. Il confirme qu'aucun aménagement n'est prévu pour les piétons et cyclistes sur la route cantonale (dont la limite de vitesse est abaissée de 80 à 50 km/h, contrairement à ce qu'affirment les recourants), l'accès pour ces usagers devant se faire par le trajet précité, situé en zone 30. Les recourants ont produit leur propre rapport, de février 2020. S'agissant de la sécurité sur le chemin de l'école, ce rapport admet que la sécurité des enfants a été prise en compte pour les trajets groupés pour le début des classes (accompagnants, patrouilleurs), mais que des problèmes se poseront pour les élèves arrivant en dehors des créneaux horaires habituels.</w:t>
      </w:r>
    </w:p>
    <w:p>
      <w:r>
        <w:t>Il n'en demeure pas moins qu'il existe un trajet adapté à la mobilité douce entre la gare de Le Muids et le complexe scolaire. Comme le relève le rapport produit par les recourants, le croisement avec la route cantonale a été sécurisé il y a quelques années. Il paraît ainsi adapté aux usagers provenant non seulement de la gare, mais aussi de secteurs plus éloignés comme Arzier. L'accès en question n'est certes pas idéal, notamment pour les cyclistes, mais il apparaît juridiquement et techniquement assuré et suffisamment sûr, ce qui satisfait aux exigences de l' art. 19 LAT .</w:t>
      </w:r>
    </w:p>
    <w:p>
      <w:r>
        <w:rPr>
          <w:b/>
        </w:rPr>
        <w:t>E. 7</w:t>
      </w:r>
    </w:p>
    <w:p>
      <w:r>
        <w:t>Se plaignant d'une application arbitraire de l'art. 83 de la loi vaudoise sur la procédure administrative (LPA/VD, RS/VD 173.36), les recourants affirment que l'effet dévolutif attaché au recours cantonal ne permettait pas à la commune de modifier le permis de construire initial en accordant un permis complémentaire plusieurs mois après l'échange d'écritures. La possibilité de revoir la décision attaquée n'existerait en effet que jusqu'au dépôt de la réponse de l'autorité intimée. La cour cantonale ne pouvait pas non plus considérer que le nouveau permis allait dans le sens préconisé par l'expert des recourants, puisque celui-ci dénonçait l'insuffisance du parking et que neuf cases de stationnement étaient supprimées dans le nouveau projet.</w:t>
      </w:r>
    </w:p>
    <w:p>
      <w:r>
        <w:t>Intitulé "Nouvel examen", l' art. 83 LPA /VD a la teneur suivante:</w:t>
      </w:r>
    </w:p>
    <w:p>
      <w:r>
        <w:t>1 En lieu et place de ses déterminations, l'autorité intimée peut rendre une nouvelle décision partiellement ou totalement à l'avantage du recourant.</w:t>
      </w:r>
    </w:p>
    <w:p>
      <w:r>
        <w:t>2 L'autorité poursuit l'instruction du recours, dans la mesure où celui-ci n'est pas devenu sans objet.</w:t>
      </w:r>
    </w:p>
    <w:p>
      <w:r>
        <w:rPr>
          <w:b/>
        </w:rPr>
        <w:t>E. 7.1</w:t>
      </w:r>
    </w:p>
    <w:p>
      <w:r>
        <w:t>En indiquant qu'elle doit être rendue en lieu et place des "déterminations" de l'autorité, la loi ne précise pas s'il s'agit de la réponse au recours ou d'éventuelles écritures ultérieures (cette précision figure en revanche à l'art. 58 de la loi fédérale sur la procédure administrative - PA, RS 172.021). Cela étant, il n'apparaît pas arbitraire de permettre, pour des motifs d'économie de procédure, à l'autorité de reconsidérer sa décision même après le premier échange d'écritures, en dépit de l'effet dévolutif du recours. Cela permet de régler le litige sans nécessiter une admission du recours et un renvoi à l'autorité inférieure pour nouvelle décision pouvant elle aussi être soumise à un éventuel recours ( ATF 127 V 228 consid. 2b/bb et les arrêts cités). Contrairement à ce qu'indiquent les auteurs mentionnés par les recourants, la pratique de la cour cantonale, même si elle n'est pas expressément mentionnée dans l'arrêt attaqué, va dans ce sens (cf. par exemple AC.2020.0172 du 31 août 2021 - renonciation à l'installation contestée après plusieurs échanges d'écritures et une inspection locale -; AC.2019.0150 du 10 décembre 2020 consid. 2 - nouvelle décision après dépôt de la réplique; AC.2015.0019 du 20 février 2020).</w:t>
      </w:r>
    </w:p>
    <w:p>
      <w:r>
        <w:rPr>
          <w:b/>
        </w:rPr>
        <w:t>E. 7.2</w:t>
      </w:r>
    </w:p>
    <w:p>
      <w:r>
        <w:t>Après le premier recours dirigé contre le permis de construire initial, la cause a été suspendue pour permettre notamment de régulariser la question de l'emprise de l'accès sur la zone agricole. La nouvelle décision prise à ce sujet a fait l'objet d'un nouveau recours du 13 février 2020. En réponse à ce nouveau recours et à l'expertise qui y était jointe, l'autorité communale a produit le 22 juin 2020 un nouveau rapport suggérant des améliorations qui ont fait l'objet d'une enquête complémentaire (modification du parking et des aménagements extérieurs) et d'un permis délivré le 15 octobre 2020. Cette nouvelle décision est certes postérieure à la réponse du 22 juin 2020, mais elle a été annoncée dans cette dernière et la mise à l'enquête s'en est suivie immédiatement. Ainsi, si elle n'a pas été rendue à la place de la réponse au second recours, la nouvelle décision a à tout le moins été annoncée à ce moment. Compte tenu de la teneur de l' art. 83 al. 1 LPA /VD - moins stricte que celle de l' art. 58 PA -, cette manière de procéder n'apparaît arbitraire ni dans ses motifs ni dans son résultat, les recourants - qui ont également pu recourir contre la troisième décision - n'indiquant pas quel préjudice ils subiraient en raison de ce mode de procéder.</w:t>
      </w:r>
    </w:p>
    <w:p>
      <w:r>
        <w:t>Les recourants estiment que la nouvelle décision leur serait défavorable puisqu'elle implique une suppression de neuf cases de stationnement, alors que leur expert relevait que le parking était déjà sous-dimensionné. Il n'en reste pas moins que la décision du 15 octobre 2020 vient régulariser la situation dont se plaignaient les recourants à propos de l'emprise sur la surface agricole. S'agissant des besoins concernant la dépose-minute, le projet a été amélioré par l'aménagement d'une trentaine de places. Pour l'évaluation en besoins de places de stationnement, l'autorité s'est fondée à l'instar de la cour cantonale, sur la norme VSS 40 281 et a considéré que même si le second projet supprimait 9 cases, la capacité du parking était fixée sur la base de critères objectifs et conformément à la norme applicable. Les recourants ont d'ailleurs renoncé à tout grief à ce propos dans leur recours au Tribunal fédéral. C'est dès lors également sans arbitraire que la cour cantonale pouvait retenir que la seconde décision était dans une certaine mesure - voire essentiellement - "à l'avantage des recourants", ce qui permettait l'application de l' art. 83 al. 1 LPA /VD. Le grief doit lui aussi être écarté.</w:t>
      </w:r>
    </w:p>
    <w:p>
      <w:r>
        <w:rPr>
          <w:b/>
        </w:rPr>
        <w:t>E. 8</w:t>
      </w:r>
    </w:p>
    <w:p>
      <w:r>
        <w:t>Dans un dernier grief, les recourants estiment que les exigences de l'art. 86 LATC en matière d'esthétique et d'intégration ne seraient pas satisfaites. L'impact sur l'environnement rural et le hameau de Le Muids aurait été ignoré, tout comme l'importance des remblais et la taille imposante du bâtiment.</w:t>
      </w:r>
    </w:p>
    <w:p>
      <w:r>
        <w:rPr>
          <w:b/>
        </w:rPr>
        <w:t>E. 8.1</w:t>
      </w:r>
    </w:p>
    <w:p>
      <w:r>
        <w:t>Selon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w:t>
      </w:r>
    </w:p>
    <w:p>
      <w:r>
        <w:t>Lorsqu'il s'agit d'examiner l'application de clauses d'esthétique, le Tribunal fédéral intervient sous l'angle de l'arbitraire et fait en outre preuve de retenue dans l'appréciation des circonstances locales. Dans ce domaine, les autorités locales disposent en effet d'un large pouvoir d'appréciation (cf. ATF 142 I 162 consid. 3.2.2; 132 II 408 consid. 4.3). C'est le cas notamment lorsqu'il s'agit de savoir si une construction ou une installation est de nature à compromettre l'aspect ou le caractère d'un site, d'une localité, d'un quartier ou d'une rue ( ATF 115 Ia 114 consid. 3d; arrêts 1C_340/2020 du 25 février 2021 consid. 2.3; 1C_104/2020 du 23 septembre 2020 consid. 2.3).</w:t>
      </w:r>
    </w:p>
    <w:p>
      <w:r>
        <w:rPr>
          <w:b/>
        </w:rPr>
        <w:t>E. 8.2</w:t>
      </w:r>
    </w:p>
    <w:p>
      <w:r>
        <w:t>La cour cantonale a elle aussi tenu compte de la liberté particulière qui doit être reconnue aux autorités communales dans l'appréciation des circonstances locales. Elle a retenu que le projet avait été sélectionné à l'issue d'un concours d'architecture destiné notamment à réduire l'impact visuel des constructions. Elle a considéré que si l'emprise au sol excédait celle des autres bâtiments du village, l'enterrement des salles de sport, le traitement des deux corps de bâtiment émergents, l'altimétrie variable des terrasses, les toits en pente et le bardage en bois des façades contribuaient à une bonne intégration. La hauteur des faîtes n'était pas sensiblement supérieure à celle d'autres bâtiments récents, notamment au chemin de la Grange. Les bâtiments situés dans la partie nord du village ne formaient pas une unité particulière. Dans ces circonstances, le choix des autorités communales ne résultait pas d'un mauvais exercice du pouvoir d'appréciation.</w:t>
      </w:r>
    </w:p>
    <w:p>
      <w:r>
        <w:t>Face à ces considérations circonstanciées, les recourants se contentent d'invoquer de manière générale l'impact du projet sur la zone agricole environnante. Le périmètre de l'école, classé en zone d'utilité publique depuis 1985, se trouve certes en bordure de la zone agricole, mais jouxte la zone villageoise qu'il vient ainsi prolonger. Les recourants ne contestent pas que cette zone du village ne présente pas d'intérêt particulier et qu'il existe déjà à proximité des bâtiments d'une hauteur comparable. Ils se plaignent des remblais importants, mais ceux-ci sont la conséquence de l'enterrement des salles de gymnastique, dont le but est précisément de limiter l'impact visuel du projet. Les recourants ne critiquent pas, pour le surplus, les considérations de la cour cantonale à propos des choix architecturaux destinés à favoriser l'intégration du complexe scolaire. Leur argumentation appellatoire ne fait ressortir aucun arbitraire et doit être écartée, dans la mesure où elle est recevable.</w:t>
      </w:r>
    </w:p>
    <w:p>
      <w:r>
        <w:rPr>
          <w:b/>
        </w:rPr>
        <w:t>E. 9</w:t>
      </w:r>
    </w:p>
    <w:p>
      <w:r>
        <w:t>Sur le vu de ce qui précède, le recours est rejeté, dans la mesure où il est recevable. Conformément à l' art. 66 al. 1 LTF , les frais judiciaires sont mis à la charge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