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1C_53/2018 vom 1. März 2018</w:t>
      </w:r>
    </w:p>
    <w:p>
      <w:r>
        <w:t>Bundesgericht, 2018-03-01, DE</w:t>
      </w:r>
    </w:p>
    <w:p>
      <w:r>
        <w:rPr>
          <w:b/>
        </w:rPr>
        <w:t xml:space="preserve">Quelle: </w:t>
      </w:r>
      <w:r>
        <w:t>https://mcp.opencaselaw.ch/entscheid/bger_1C_53_2018</w:t>
      </w:r>
    </w:p>
    <w:p>
      <w:r>
        <w:t>FR: TF 1C_53/2018 du 1 mars 2018</w:t>
      </w:r>
    </w:p>
    <w:p>
      <w:r>
        <w:t>IT: TF 1C_53/2018 del 1 marzo 2018</w:t>
      </w:r>
    </w:p>
    <w:p>
      <w:pPr>
        <w:pStyle w:val="Heading2"/>
      </w:pPr>
      <w:r>
        <w:t>Erwägungen</w:t>
      </w:r>
    </w:p>
    <w:p>
      <w:r>
        <w:rPr>
          <w:b/>
        </w:rPr>
        <w:t>E. 1.1</w:t>
      </w:r>
    </w:p>
    <w:p>
      <w:r>
        <w:t>Gemäss Art. 93 Abs. 2 BGG sind auf dem Gebiet der internationalen Rechtshilfe in Strafsachen Vor- und Zwischenentscheide nicht anfechtbar. Vorbehalten bleiben Beschwerden gegen Entscheide unter anderem über die Beschlagnahme von Vermögenswerten, sofern die Voraussetzungen von Absatz 1 erfüllt sind. Gemäss Art. 93 Abs. 1 lit. a BGG ist die Beschwerde gegen einen Zwischenentscheid zulässig, wenn er einen nicht wieder gutzumachenden Nachteil bewirken kann (Urteil 1B_285/2011 vom 18. November 2011 E. 2.3 mit Hinweisen).</w:t>
      </w:r>
    </w:p>
    <w:p>
      <w:r>
        <w:t>Das Bundesstrafgericht hat im angefochtenen Entscheid mit Blick auf die Art. 93 Abs. 1 lit. a BGG entsprechende Bestimmung von Art. 80e Abs. 2 IRSG (SR 351.1) festgehalten, auf Beschwerden gegen die Abweisung von Gesuchen um Freigabe von Vermögenswerten, welche nach Rechtskraft der Schlussverfügung betreffend die Beschlagnahme der Gegenstände oder Vermögenswerte gestellt werden, sei auch ohne Vorliegen eines unmittelbaren und nicht wieder gutzumachenden Nachteils einzutreten, wenn seit der ursprünglichen Beschlagnahmeverfügung relativ lange Zeit vergangen sei. Es verweist auf sein Urteil TPF 2007 124 E. 2 S. 129 ff., wo die teils jahrelange Dauer von Rechtshilfeverfahren hervorgehoben und festgehalten wird, dass das Interesse des Kontoinhabers, die Sperre gerichtlich überprüfen zu lassen, nach Ablauf relativ langer Zeit spürbar zunehmen könne.</w:t>
      </w:r>
    </w:p>
    <w:p>
      <w:r>
        <w:t>Wie es sich damit verhält, braucht vorliegend nicht abschliessend erörtert zu werden. Wie aus den nachfolgenden Erwägungen hervorgeht, ist auf die Beschwerde bereits aus einem anderen Grund nicht einzutreten.</w:t>
      </w:r>
    </w:p>
    <w:p>
      <w:r>
        <w:rPr>
          <w:b/>
        </w:rPr>
        <w:t>E. 1.2.1</w:t>
      </w:r>
    </w:p>
    <w:p>
      <w:r>
        <w:t>Gemäss Art. 84 BGG ist gegen einen Entscheid auf dem Gebiet der internationalen Rechtshilfe in Strafsachen die Beschwerde nur zulässig, wenn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1.2.2</w:t>
      </w:r>
    </w:p>
    <w:p>
      <w:r>
        <w:t>Die Beschwerdeführerin macht geltend, sie habe bereits im vorinstanzlichen Verfahren geltend gemacht, die Aufrechterhaltung der Beschlagnahme verletze das Verhältnismässigkeitsprinzip, weil die Vermögensherausgabe nach Art. 74a IRSG bereits durch die Beschlagnahme anderer Konten gesichert sei. Diese Behauptung begründet sie jedoch nicht näher ( Art. 42 Abs. 2 BGG ). Weiter macht die Beschwerdeführerin geltend, dass gemäss neueren ukrainischen Urteilen, von denen sie erst am 19. Oktober 2017 erfahren habe, erstellt sei, dass das Geld auf dem gesperrten Konto nicht aus der angeblichen Veruntreuung stammen könne. Hierzu hat sich die Vorinstanz im angefochtenen Entscheid ausführlich geäussert und unter Hinweis auf die bundesgerichtliche Rechtsprechung dargelegt, dass das Rechtshilfeersuchen zu vollziehen sei, solange es nicht zurückgezogen wird (Urteil 1C_640/2013 vom 25. Juli 2013 E. 1.2 mit Hinweisen). Unzutreffend ist die Behauptung der Beschwerdeführerin, die Vorinstanzen hätten in die Aktionärsstrukturen eingegriffen. Wie aus dem oben geschilderten Sachverhalt hervorgeht, hat das BJ lediglich einen Vermögenstransfer genehmigt und diese Genehmigung später widerrufen. Das änderte die Aktionärsstrukturen der Beschwerdeführerin nicht. Schliesslich stellen sich auch keine grundlegenden Fragen zur Koordination zwischen dem BJ und der DV. Die DV führte in ihrer Verfügung vom 2. Juni 2017 aus, dass die Aufhebung der von ihr angeordneten Sperrung mit dem BJ abgestimmt werde, wie dies der Gesetzgeber gewünscht habe, da dem Entscheid über die Zulässigkeit einer Aufrechterhaltung der rechtshilfeweisen Sperrung des Kontos nicht vorgegriffen werden solle.</w:t>
      </w:r>
    </w:p>
    <w:p>
      <w:r>
        <w:t>Rechtsfragen von grundsätzlicher Bedeutung stellen sich nicht. Auch sonst kommt dem Fall keine aussergewöhnliche Tragweite zu. Für das Bundesgericht besteht deshalb kein Anlass, die Sache an die Hand zu nehmen.</w:t>
      </w:r>
    </w:p>
    <w:p>
      <w:r>
        <w:rPr>
          <w:b/>
        </w:rPr>
        <w:t>E. 2</w:t>
      </w:r>
    </w:p>
    <w:p>
      <w:r>
        <w:t>Die Beschwerde ist danach unzulässig. Damit wird das Gesuch der Beschwerdeführerin um vorsorgliche Massnahmen gegenstandslos.</w:t>
      </w:r>
    </w:p>
    <w:p>
      <w:r>
        <w:t>Bei diesem Ausgang des Verfahrens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